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640B9" w14:textId="77777777" w:rsidR="002A144D" w:rsidRPr="00902EFE" w:rsidRDefault="002A144D" w:rsidP="00343ED0">
      <w:pPr>
        <w:rPr>
          <w:rFonts w:ascii="Calibri" w:hAnsi="Calibri" w:cs="Calibri"/>
          <w:sz w:val="24"/>
        </w:rPr>
      </w:pPr>
      <w:r w:rsidRPr="00902EFE">
        <w:rPr>
          <w:rFonts w:ascii="Calibri" w:hAnsi="Calibri" w:cs="Calibri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941D0" wp14:editId="3C1EBAFB">
                <wp:simplePos x="0" y="0"/>
                <wp:positionH relativeFrom="margin">
                  <wp:posOffset>-435610</wp:posOffset>
                </wp:positionH>
                <wp:positionV relativeFrom="paragraph">
                  <wp:posOffset>74323</wp:posOffset>
                </wp:positionV>
                <wp:extent cx="6384290" cy="112903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1290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55FD" w14:textId="77777777" w:rsidR="002A144D" w:rsidRPr="00403D5D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Goal of the Grant: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3F2C04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4809072" w14:textId="77777777" w:rsidR="002A144D" w:rsidRPr="007F08B0" w:rsidRDefault="002A144D" w:rsidP="002A144D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Purpose of the GMIT: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94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3pt;margin-top:5.85pt;width:502.7pt;height:8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" fillcolor="#eeece1 [3214]">
                <v:textbox>
                  <w:txbxContent>
                    <w:p w14:paraId="33C555FD" w14:textId="77777777" w:rsidR="002A144D" w:rsidRPr="00403D5D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Goal of the Grant: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improve behavioral health outcomes for children and youth </w:t>
                      </w:r>
                      <w:r w:rsidRPr="003F2C04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4809072" w14:textId="77777777" w:rsidR="002A144D" w:rsidRPr="007F08B0" w:rsidRDefault="002A144D" w:rsidP="002A144D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Purpose of the GMIT: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343ED0" w:rsidRPr="00902EFE" w14:paraId="3DF37BDE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59DB346" w14:textId="77777777" w:rsidR="00343ED0" w:rsidRPr="00902EFE" w:rsidRDefault="00343ED0" w:rsidP="007F6F21">
            <w:pPr>
              <w:pStyle w:val="MinutesandAgendaTitles"/>
              <w:rPr>
                <w:rFonts w:ascii="Calibri" w:hAnsi="Calibri" w:cs="Calibri"/>
                <w:sz w:val="28"/>
                <w:szCs w:val="24"/>
              </w:rPr>
            </w:pPr>
            <w:r w:rsidRPr="00902EFE">
              <w:rPr>
                <w:rFonts w:ascii="Calibri" w:hAnsi="Calibri" w:cs="Calibri"/>
                <w:color w:val="auto"/>
                <w:sz w:val="28"/>
                <w:szCs w:val="24"/>
              </w:rPr>
              <w:t>Attendees</w:t>
            </w:r>
          </w:p>
        </w:tc>
      </w:tr>
      <w:tr w:rsidR="00343ED0" w:rsidRPr="00CE7F69" w14:paraId="52FA4406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859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346"/>
            </w:tblGrid>
            <w:tr w:rsidR="00C51513" w:rsidRPr="00CE7F69" w14:paraId="42D6F744" w14:textId="77777777" w:rsidTr="006542CC">
              <w:tc>
                <w:tcPr>
                  <w:tcW w:w="3256" w:type="dxa"/>
                  <w:vAlign w:val="center"/>
                </w:tcPr>
                <w:p w14:paraId="40E3BBCE" w14:textId="77777777" w:rsidR="00C5151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Jennifer Warren</w:t>
                  </w:r>
                </w:p>
              </w:tc>
              <w:tc>
                <w:tcPr>
                  <w:tcW w:w="3257" w:type="dxa"/>
                  <w:vAlign w:val="center"/>
                </w:tcPr>
                <w:p w14:paraId="7BA8A499" w14:textId="77777777" w:rsidR="00C5151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Bridgett Rogers</w:t>
                  </w:r>
                </w:p>
              </w:tc>
              <w:tc>
                <w:tcPr>
                  <w:tcW w:w="3346" w:type="dxa"/>
                  <w:vAlign w:val="center"/>
                </w:tcPr>
                <w:p w14:paraId="0FBF8ED3" w14:textId="77777777" w:rsidR="00C5151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Bobbi Jones</w:t>
                  </w:r>
                </w:p>
              </w:tc>
            </w:tr>
            <w:tr w:rsidR="00C51513" w:rsidRPr="00CE7F69" w14:paraId="10B7092E" w14:textId="77777777" w:rsidTr="006542CC">
              <w:tc>
                <w:tcPr>
                  <w:tcW w:w="3256" w:type="dxa"/>
                  <w:vAlign w:val="center"/>
                </w:tcPr>
                <w:p w14:paraId="4BD8B189" w14:textId="77777777" w:rsidR="00C51513" w:rsidRPr="00CE7F69" w:rsidRDefault="00CE7F69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Dyzz Cooper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531FB9B2" w14:textId="77777777" w:rsidR="00C5151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Barb Greene</w:t>
                  </w:r>
                </w:p>
              </w:tc>
              <w:tc>
                <w:tcPr>
                  <w:tcW w:w="3346" w:type="dxa"/>
                  <w:vAlign w:val="center"/>
                </w:tcPr>
                <w:p w14:paraId="0323D535" w14:textId="77777777" w:rsidR="00C5151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 xml:space="preserve">Amanda Metcalf </w:t>
                  </w:r>
                </w:p>
              </w:tc>
            </w:tr>
            <w:tr w:rsidR="00C51513" w:rsidRPr="00CE7F69" w14:paraId="7545E8C5" w14:textId="77777777" w:rsidTr="006542CC">
              <w:tc>
                <w:tcPr>
                  <w:tcW w:w="3256" w:type="dxa"/>
                  <w:vAlign w:val="center"/>
                </w:tcPr>
                <w:p w14:paraId="58E7E2A8" w14:textId="77777777" w:rsidR="00C5151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Maxine Reid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52EF39AC" w14:textId="77777777" w:rsidR="00C51513" w:rsidRPr="00CE7F69" w:rsidRDefault="00CE7F69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 xml:space="preserve">Debra Collins </w:t>
                  </w:r>
                </w:p>
              </w:tc>
              <w:tc>
                <w:tcPr>
                  <w:tcW w:w="3346" w:type="dxa"/>
                  <w:vAlign w:val="center"/>
                </w:tcPr>
                <w:p w14:paraId="3E8451E1" w14:textId="77777777" w:rsidR="00C5151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 xml:space="preserve">Kelly Bradshaw </w:t>
                  </w:r>
                </w:p>
              </w:tc>
            </w:tr>
            <w:tr w:rsidR="00C51513" w:rsidRPr="00CE7F69" w14:paraId="69D84B09" w14:textId="77777777" w:rsidTr="006542CC">
              <w:tc>
                <w:tcPr>
                  <w:tcW w:w="3256" w:type="dxa"/>
                  <w:vAlign w:val="center"/>
                </w:tcPr>
                <w:p w14:paraId="15FFCB13" w14:textId="77777777" w:rsidR="00C5151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Chithra Adams</w:t>
                  </w:r>
                </w:p>
              </w:tc>
              <w:tc>
                <w:tcPr>
                  <w:tcW w:w="3257" w:type="dxa"/>
                  <w:vAlign w:val="center"/>
                </w:tcPr>
                <w:p w14:paraId="111E54F9" w14:textId="77777777" w:rsidR="00C51513" w:rsidRPr="00CE7F69" w:rsidRDefault="00CE7F69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Stephanie Mullins</w:t>
                  </w:r>
                </w:p>
              </w:tc>
              <w:tc>
                <w:tcPr>
                  <w:tcW w:w="3346" w:type="dxa"/>
                  <w:vAlign w:val="center"/>
                </w:tcPr>
                <w:p w14:paraId="53AE895B" w14:textId="77777777" w:rsidR="00C51513" w:rsidRPr="00CE7F69" w:rsidRDefault="00CE7F69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Mary Hajner</w:t>
                  </w:r>
                </w:p>
              </w:tc>
            </w:tr>
            <w:tr w:rsidR="00C51513" w:rsidRPr="00CE7F69" w14:paraId="74CC487C" w14:textId="77777777" w:rsidTr="006542CC">
              <w:tc>
                <w:tcPr>
                  <w:tcW w:w="3256" w:type="dxa"/>
                  <w:vAlign w:val="center"/>
                </w:tcPr>
                <w:p w14:paraId="29C39673" w14:textId="77777777" w:rsidR="00C5151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Greta Baker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4F6F8F1F" w14:textId="77777777" w:rsidR="00C5151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 xml:space="preserve">Joy Varney </w:t>
                  </w:r>
                </w:p>
              </w:tc>
              <w:tc>
                <w:tcPr>
                  <w:tcW w:w="3346" w:type="dxa"/>
                  <w:vAlign w:val="center"/>
                </w:tcPr>
                <w:p w14:paraId="05D26DD5" w14:textId="77777777" w:rsidR="00C51513" w:rsidRPr="00CE7F69" w:rsidRDefault="002F7A61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Kelvin </w:t>
                  </w:r>
                  <w:r w:rsidR="00545CB9">
                    <w:rPr>
                      <w:rFonts w:ascii="Century Gothic" w:hAnsi="Century Gothic" w:cs="Calibri"/>
                    </w:rPr>
                    <w:t>Bail</w:t>
                  </w:r>
                  <w:r w:rsidR="00872610">
                    <w:rPr>
                      <w:rFonts w:ascii="Century Gothic" w:hAnsi="Century Gothic" w:cs="Calibri"/>
                    </w:rPr>
                    <w:t>e</w:t>
                  </w:r>
                  <w:r w:rsidR="00545CB9">
                    <w:rPr>
                      <w:rFonts w:ascii="Century Gothic" w:hAnsi="Century Gothic" w:cs="Calibri"/>
                    </w:rPr>
                    <w:t xml:space="preserve">y </w:t>
                  </w:r>
                </w:p>
              </w:tc>
            </w:tr>
            <w:tr w:rsidR="008001E1" w:rsidRPr="00CE7F69" w14:paraId="55E1C968" w14:textId="77777777" w:rsidTr="006542CC">
              <w:tc>
                <w:tcPr>
                  <w:tcW w:w="3256" w:type="dxa"/>
                  <w:vAlign w:val="center"/>
                </w:tcPr>
                <w:p w14:paraId="5C05C185" w14:textId="77777777" w:rsidR="008001E1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Monica Hoskins</w:t>
                  </w:r>
                </w:p>
              </w:tc>
              <w:tc>
                <w:tcPr>
                  <w:tcW w:w="3257" w:type="dxa"/>
                  <w:vAlign w:val="center"/>
                </w:tcPr>
                <w:p w14:paraId="63DDEA8C" w14:textId="77777777" w:rsidR="008001E1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Dee Dee Ward</w:t>
                  </w:r>
                </w:p>
              </w:tc>
              <w:tc>
                <w:tcPr>
                  <w:tcW w:w="3346" w:type="dxa"/>
                  <w:vAlign w:val="center"/>
                </w:tcPr>
                <w:p w14:paraId="537BF7E4" w14:textId="77777777" w:rsidR="008001E1" w:rsidRPr="00CE7F69" w:rsidRDefault="009B1BF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 xml:space="preserve">Jessica Ware </w:t>
                  </w:r>
                </w:p>
              </w:tc>
            </w:tr>
            <w:tr w:rsidR="00E33793" w:rsidRPr="00CE7F69" w14:paraId="424CF446" w14:textId="77777777" w:rsidTr="006542CC">
              <w:tc>
                <w:tcPr>
                  <w:tcW w:w="3256" w:type="dxa"/>
                  <w:vAlign w:val="center"/>
                </w:tcPr>
                <w:p w14:paraId="51F883FB" w14:textId="77777777" w:rsidR="00E3379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Katie Kirkland</w:t>
                  </w:r>
                </w:p>
              </w:tc>
              <w:tc>
                <w:tcPr>
                  <w:tcW w:w="3257" w:type="dxa"/>
                  <w:vAlign w:val="center"/>
                </w:tcPr>
                <w:p w14:paraId="45EC0EEC" w14:textId="77777777" w:rsidR="00E33793" w:rsidRPr="00CE7F69" w:rsidRDefault="00CE7F6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CE7F69">
                    <w:rPr>
                      <w:rFonts w:ascii="Century Gothic" w:hAnsi="Century Gothic" w:cs="Calibri"/>
                    </w:rPr>
                    <w:t>Billy Fore</w:t>
                  </w:r>
                </w:p>
              </w:tc>
              <w:tc>
                <w:tcPr>
                  <w:tcW w:w="3346" w:type="dxa"/>
                  <w:vAlign w:val="center"/>
                </w:tcPr>
                <w:p w14:paraId="0C054C4E" w14:textId="77777777" w:rsidR="00E33793" w:rsidRPr="00CE7F69" w:rsidRDefault="005E5762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>
                    <w:rPr>
                      <w:rFonts w:ascii="Century Gothic" w:hAnsi="Century Gothic" w:cs="Calibri"/>
                    </w:rPr>
                    <w:t>Shellie Mills</w:t>
                  </w:r>
                </w:p>
              </w:tc>
            </w:tr>
          </w:tbl>
          <w:p w14:paraId="1D43F427" w14:textId="77777777" w:rsidR="00343ED0" w:rsidRPr="00CE7F69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</w:rPr>
            </w:pPr>
          </w:p>
        </w:tc>
      </w:tr>
    </w:tbl>
    <w:p w14:paraId="66107B6F" w14:textId="77777777" w:rsidR="00274214" w:rsidRPr="00CE7F69" w:rsidRDefault="00274214" w:rsidP="000649C0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74214" w:rsidRPr="00CE7F69" w14:paraId="6C5D48F9" w14:textId="77777777" w:rsidTr="003F2C0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15C48B0" w14:textId="77777777" w:rsidR="00274214" w:rsidRPr="00CE7F69" w:rsidRDefault="00274214" w:rsidP="0027421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Calibri"/>
                <w:b/>
              </w:rPr>
            </w:pPr>
            <w:r w:rsidRPr="00CE7F69">
              <w:rPr>
                <w:rFonts w:ascii="Century Gothic" w:hAnsi="Century Gothic" w:cs="Calibri"/>
                <w:b/>
              </w:rPr>
              <w:t xml:space="preserve">Family &amp; Youth Involvement: </w:t>
            </w:r>
            <w:r w:rsidRPr="00CE7F69">
              <w:rPr>
                <w:rFonts w:ascii="Century Gothic" w:hAnsi="Century Gothic" w:cs="Calibri"/>
              </w:rPr>
              <w:t>Regional GMIT Goal Summary - Implement strategies to promote and sustain the voice of children, youth, and their families with child welfare involvement at all levels of the system of care. (Practice, Program, Policy levels)</w:t>
            </w:r>
          </w:p>
        </w:tc>
      </w:tr>
      <w:tr w:rsidR="00274214" w:rsidRPr="00CE7F69" w14:paraId="4F708668" w14:textId="77777777" w:rsidTr="003F2C0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C56BC5" w14:textId="77777777" w:rsidR="003F2C04" w:rsidRPr="00C40567" w:rsidRDefault="003F2C04" w:rsidP="009D224A">
            <w:pPr>
              <w:pStyle w:val="BodyCopy"/>
              <w:tabs>
                <w:tab w:val="left" w:pos="4195"/>
              </w:tabs>
              <w:rPr>
                <w:rStyle w:val="Hyperlink"/>
                <w:rFonts w:ascii="Century Gothic" w:hAnsi="Century Gothic" w:cs="Calibri"/>
                <w:b/>
                <w:bCs/>
                <w:sz w:val="24"/>
                <w:szCs w:val="40"/>
              </w:rPr>
            </w:pPr>
            <w:r w:rsidRPr="00C40567">
              <w:rPr>
                <w:rFonts w:ascii="Century Gothic" w:hAnsi="Century Gothic" w:cs="Calibri"/>
                <w:b/>
                <w:bCs/>
                <w:sz w:val="24"/>
                <w:szCs w:val="40"/>
              </w:rPr>
              <w:t xml:space="preserve">Survey Monkey </w:t>
            </w:r>
            <w:r w:rsidR="009D224A" w:rsidRPr="00C40567">
              <w:rPr>
                <w:rFonts w:ascii="Century Gothic" w:hAnsi="Century Gothic" w:cs="Calibri"/>
                <w:b/>
                <w:bCs/>
                <w:sz w:val="24"/>
                <w:szCs w:val="40"/>
              </w:rPr>
              <w:t>results:</w:t>
            </w:r>
            <w:r w:rsidRPr="00C40567">
              <w:rPr>
                <w:rFonts w:ascii="Century Gothic" w:hAnsi="Century Gothic" w:cs="Calibri"/>
                <w:b/>
                <w:bCs/>
                <w:sz w:val="24"/>
                <w:szCs w:val="40"/>
              </w:rPr>
              <w:t xml:space="preserve"> </w:t>
            </w:r>
            <w:hyperlink r:id="rId10" w:tgtFrame="_blank" w:history="1">
              <w:r w:rsidRPr="00C40567">
                <w:rPr>
                  <w:rStyle w:val="Hyperlink"/>
                  <w:rFonts w:ascii="Century Gothic" w:hAnsi="Century Gothic" w:cs="Calibri"/>
                  <w:b/>
                  <w:bCs/>
                  <w:sz w:val="24"/>
                  <w:szCs w:val="40"/>
                </w:rPr>
                <w:t>https://www.surveymonkey.com/r/ZD2WMMR</w:t>
              </w:r>
            </w:hyperlink>
          </w:p>
          <w:p w14:paraId="1DC45363" w14:textId="41C80073" w:rsidR="009D224A" w:rsidRPr="002F7A61" w:rsidRDefault="00CE7F69" w:rsidP="009D224A">
            <w:pPr>
              <w:pStyle w:val="BodyCopy"/>
              <w:tabs>
                <w:tab w:val="left" w:pos="4195"/>
              </w:tabs>
              <w:rPr>
                <w:rStyle w:val="Hyperlink"/>
                <w:rFonts w:ascii="Century Gothic" w:hAnsi="Century Gothic"/>
                <w:color w:val="auto"/>
                <w:sz w:val="22"/>
                <w:u w:val="none"/>
              </w:rPr>
            </w:pPr>
            <w:r w:rsidRPr="00CE7F69">
              <w:rPr>
                <w:rStyle w:val="Hyperlink"/>
                <w:rFonts w:ascii="Century Gothic" w:hAnsi="Century Gothic"/>
                <w:color w:val="auto"/>
                <w:sz w:val="22"/>
                <w:u w:val="none"/>
              </w:rPr>
              <w:t>Agencies wanted more information on how to identify and support families on committees</w:t>
            </w:r>
            <w:r w:rsidR="002F7A61">
              <w:rPr>
                <w:rStyle w:val="Hyperlink"/>
                <w:rFonts w:ascii="Century Gothic" w:hAnsi="Century Gothic"/>
                <w:color w:val="auto"/>
                <w:sz w:val="22"/>
                <w:u w:val="none"/>
              </w:rPr>
              <w:t xml:space="preserve">. Members discussed </w:t>
            </w:r>
            <w:r w:rsidR="002F7A61" w:rsidRPr="002F7A61">
              <w:rPr>
                <w:rStyle w:val="Hyperlink"/>
                <w:rFonts w:ascii="Century Gothic" w:hAnsi="Century Gothic"/>
                <w:color w:val="auto"/>
                <w:sz w:val="22"/>
                <w:u w:val="none"/>
              </w:rPr>
              <w:t xml:space="preserve">understanding how to approach families and share openly about opportunities.  Some good candidates will have lived experience but also have talent </w:t>
            </w:r>
            <w:r w:rsidR="00B230B1">
              <w:rPr>
                <w:rStyle w:val="Hyperlink"/>
                <w:rFonts w:ascii="Century Gothic" w:hAnsi="Century Gothic"/>
                <w:color w:val="auto"/>
                <w:sz w:val="22"/>
                <w:u w:val="none"/>
              </w:rPr>
              <w:t>and</w:t>
            </w:r>
            <w:r w:rsidR="002F7A61" w:rsidRPr="002F7A61">
              <w:rPr>
                <w:rStyle w:val="Hyperlink"/>
                <w:rFonts w:ascii="Century Gothic" w:hAnsi="Century Gothic"/>
                <w:color w:val="auto"/>
                <w:sz w:val="22"/>
                <w:u w:val="none"/>
              </w:rPr>
              <w:t xml:space="preserve"> skills to share. </w:t>
            </w:r>
          </w:p>
          <w:p w14:paraId="0FBFC93F" w14:textId="77777777" w:rsidR="002F7A61" w:rsidRPr="002F7A61" w:rsidRDefault="002F7A61" w:rsidP="009D224A">
            <w:pPr>
              <w:pStyle w:val="BodyCopy"/>
              <w:tabs>
                <w:tab w:val="left" w:pos="4195"/>
              </w:tabs>
              <w:rPr>
                <w:rFonts w:ascii="Century Gothic" w:hAnsi="Century Gothic" w:cs="Calibri"/>
                <w:sz w:val="22"/>
              </w:rPr>
            </w:pPr>
          </w:p>
          <w:p w14:paraId="4B9825EA" w14:textId="77777777" w:rsidR="009D224A" w:rsidRPr="00C40567" w:rsidRDefault="009D224A" w:rsidP="009D224A">
            <w:pPr>
              <w:pStyle w:val="BodyCopy"/>
              <w:tabs>
                <w:tab w:val="left" w:pos="4195"/>
              </w:tabs>
              <w:rPr>
                <w:rFonts w:ascii="Century Gothic" w:hAnsi="Century Gothic" w:cs="Calibri"/>
                <w:b/>
                <w:bCs/>
                <w:sz w:val="24"/>
                <w:szCs w:val="40"/>
              </w:rPr>
            </w:pPr>
            <w:r w:rsidRPr="00C40567">
              <w:rPr>
                <w:rFonts w:ascii="Century Gothic" w:hAnsi="Century Gothic" w:cs="Calibri"/>
                <w:b/>
                <w:bCs/>
                <w:sz w:val="24"/>
                <w:szCs w:val="40"/>
              </w:rPr>
              <w:t>Family and/or Youth member – Dyzz &amp; Joy</w:t>
            </w:r>
          </w:p>
          <w:p w14:paraId="26F36C68" w14:textId="77777777" w:rsidR="002F7A61" w:rsidRPr="00C40567" w:rsidRDefault="002F7A61" w:rsidP="009D224A">
            <w:pPr>
              <w:pStyle w:val="BodyCopy"/>
              <w:tabs>
                <w:tab w:val="left" w:pos="4195"/>
              </w:tabs>
              <w:rPr>
                <w:rFonts w:ascii="Century Gothic" w:hAnsi="Century Gothic" w:cs="Calibri"/>
                <w:sz w:val="22"/>
              </w:rPr>
            </w:pPr>
            <w:r w:rsidRPr="00C40567">
              <w:rPr>
                <w:rFonts w:ascii="Century Gothic" w:hAnsi="Century Gothic" w:cs="Calibri"/>
                <w:sz w:val="22"/>
              </w:rPr>
              <w:t xml:space="preserve">Youth rep was not present on the call but has been identified </w:t>
            </w:r>
            <w:r w:rsidR="00C40567" w:rsidRPr="00C40567">
              <w:rPr>
                <w:rFonts w:ascii="Century Gothic" w:hAnsi="Century Gothic" w:cs="Calibri"/>
                <w:sz w:val="22"/>
              </w:rPr>
              <w:t>however there are scheduling conflicts</w:t>
            </w:r>
            <w:r w:rsidR="00C40567">
              <w:rPr>
                <w:rFonts w:ascii="Century Gothic" w:hAnsi="Century Gothic" w:cs="Calibri"/>
                <w:sz w:val="22"/>
              </w:rPr>
              <w:t xml:space="preserve"> as she is a senior in high school. Members will reach out to check her schedule to see what the team can accommodate. She may be able to put it towards a credit/community service allocation. The team will continue to look for candidates. </w:t>
            </w:r>
          </w:p>
          <w:p w14:paraId="6392A8EC" w14:textId="77777777" w:rsidR="00F25EE8" w:rsidRPr="00CE7F69" w:rsidRDefault="00F25EE8" w:rsidP="009D224A">
            <w:pPr>
              <w:pStyle w:val="BodyCopy"/>
              <w:tabs>
                <w:tab w:val="left" w:pos="4195"/>
              </w:tabs>
              <w:rPr>
                <w:rFonts w:ascii="Century Gothic" w:hAnsi="Century Gothic" w:cs="Calibri"/>
                <w:sz w:val="24"/>
                <w:szCs w:val="40"/>
              </w:rPr>
            </w:pPr>
          </w:p>
          <w:p w14:paraId="0C674918" w14:textId="77777777" w:rsidR="00F25EE8" w:rsidRDefault="00F25EE8" w:rsidP="009D224A">
            <w:pPr>
              <w:pStyle w:val="BodyCopy"/>
              <w:tabs>
                <w:tab w:val="left" w:pos="4195"/>
              </w:tabs>
              <w:rPr>
                <w:rFonts w:ascii="Century Gothic" w:hAnsi="Century Gothic" w:cs="Calibri"/>
                <w:b/>
                <w:bCs/>
                <w:sz w:val="24"/>
                <w:szCs w:val="40"/>
              </w:rPr>
            </w:pPr>
            <w:r w:rsidRPr="00C40567">
              <w:rPr>
                <w:rFonts w:ascii="Century Gothic" w:hAnsi="Century Gothic" w:cs="Calibri"/>
                <w:b/>
                <w:bCs/>
                <w:sz w:val="24"/>
                <w:szCs w:val="40"/>
              </w:rPr>
              <w:t>Update on Action Items:</w:t>
            </w:r>
          </w:p>
          <w:p w14:paraId="716BCBA6" w14:textId="77777777" w:rsidR="009344A1" w:rsidRPr="009B1BFE" w:rsidRDefault="009B1BFE" w:rsidP="003F2C04">
            <w:pPr>
              <w:pStyle w:val="BodyCopy"/>
              <w:tabs>
                <w:tab w:val="left" w:pos="4195"/>
              </w:tabs>
              <w:rPr>
                <w:rFonts w:ascii="Century Gothic" w:hAnsi="Century Gothic" w:cs="Calibri"/>
                <w:sz w:val="22"/>
                <w:szCs w:val="36"/>
              </w:rPr>
            </w:pPr>
            <w:r w:rsidRPr="009B1BFE">
              <w:rPr>
                <w:rFonts w:ascii="Century Gothic" w:hAnsi="Century Gothic" w:cs="Calibri"/>
                <w:sz w:val="22"/>
              </w:rPr>
              <w:t xml:space="preserve">Gather update from Buckhorn FPP provider: no response has been received at this time. </w:t>
            </w:r>
          </w:p>
        </w:tc>
      </w:tr>
      <w:tr w:rsidR="00274214" w:rsidRPr="00CE7F69" w14:paraId="003A0139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AE11B39" w14:textId="77777777" w:rsidR="00274214" w:rsidRPr="00CE7F69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8DE3293" w14:textId="77777777" w:rsidR="00274214" w:rsidRPr="00CE7F69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F46F537" w14:textId="77777777" w:rsidR="00274214" w:rsidRPr="00CE7F69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274214" w:rsidRPr="00CE7F69" w14:paraId="3D3DF614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4D8AB3" w14:textId="77777777" w:rsidR="00274214" w:rsidRPr="00CE7F69" w:rsidRDefault="009B1BFE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9B1BFE">
              <w:rPr>
                <w:rFonts w:ascii="Century Gothic" w:hAnsi="Century Gothic" w:cs="Calibri"/>
                <w:sz w:val="22"/>
              </w:rPr>
              <w:t>Engage youth and families to see if there is interest in becoming youth/parent rep for RGMIT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CEC833" w14:textId="77777777" w:rsidR="00274214" w:rsidRPr="00CE7F69" w:rsidRDefault="009B1BFE" w:rsidP="009B1BFE">
            <w:pPr>
              <w:pStyle w:val="BodyCopy"/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1BFE">
              <w:rPr>
                <w:rFonts w:ascii="Century Gothic" w:hAnsi="Century Gothic" w:cs="Calibri"/>
                <w:sz w:val="22"/>
              </w:rPr>
              <w:t>All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E32637" w14:textId="77777777" w:rsidR="00274214" w:rsidRPr="00CE7F69" w:rsidRDefault="009B1BFE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9B1BFE">
              <w:rPr>
                <w:rFonts w:ascii="Century Gothic" w:hAnsi="Century Gothic" w:cs="Calibri"/>
                <w:sz w:val="22"/>
              </w:rPr>
              <w:t>ongoing</w:t>
            </w:r>
          </w:p>
        </w:tc>
      </w:tr>
      <w:tr w:rsidR="00C46528" w:rsidRPr="00CE7F69" w14:paraId="78EAFC36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163EE7" w14:textId="77777777" w:rsidR="00C46528" w:rsidRPr="00CE7F69" w:rsidRDefault="00C46528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77CB08" w14:textId="77777777" w:rsidR="00C46528" w:rsidRPr="00CE7F69" w:rsidRDefault="00C46528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B4C4B3" w14:textId="77777777" w:rsidR="00C46528" w:rsidRPr="00CE7F69" w:rsidRDefault="00C46528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3F2C04" w:rsidRPr="00CE7F69" w14:paraId="14E8B184" w14:textId="77777777" w:rsidTr="00C40567">
        <w:trPr>
          <w:trHeight w:val="602"/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DAA71D" w14:textId="77777777" w:rsidR="003F2C04" w:rsidRPr="00CE7F69" w:rsidRDefault="003F2C0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49FB59" w14:textId="77777777" w:rsidR="003F2C04" w:rsidRPr="00CE7F69" w:rsidRDefault="003F2C0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3C49D2" w14:textId="77777777" w:rsidR="003F2C04" w:rsidRPr="00CE7F69" w:rsidRDefault="003F2C0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3DEEDF95" w14:textId="77777777" w:rsidR="00274214" w:rsidRPr="00CE7F69" w:rsidRDefault="00274214" w:rsidP="000649C0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F25EE8" w:rsidRPr="00CE7F69" w14:paraId="0B58F176" w14:textId="77777777" w:rsidTr="007F02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0042DAD" w14:textId="77777777" w:rsidR="00F25EE8" w:rsidRPr="00CE7F69" w:rsidRDefault="00F25EE8" w:rsidP="007F02A4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color w:val="auto"/>
                <w:sz w:val="24"/>
                <w:szCs w:val="24"/>
              </w:rPr>
              <w:t>Training Opportunities</w:t>
            </w:r>
          </w:p>
        </w:tc>
      </w:tr>
      <w:tr w:rsidR="00F25EE8" w:rsidRPr="00CE7F69" w14:paraId="3C4D537B" w14:textId="77777777" w:rsidTr="007F02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33E467" w14:textId="77777777" w:rsidR="00F25EE8" w:rsidRPr="00545CB9" w:rsidRDefault="00F25EE8" w:rsidP="00F25EE8">
            <w:pPr>
              <w:spacing w:line="259" w:lineRule="auto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545CB9">
              <w:rPr>
                <w:rFonts w:ascii="Century Gothic" w:eastAsia="Calibri" w:hAnsi="Century Gothic" w:cs="Times New Roman"/>
                <w:b/>
                <w:bCs/>
                <w:spacing w:val="0"/>
                <w:sz w:val="24"/>
                <w:szCs w:val="24"/>
              </w:rPr>
              <w:t xml:space="preserve">Training Institute Workshops </w:t>
            </w:r>
            <w:hyperlink r:id="rId11" w:history="1">
              <w:r w:rsidRPr="00545CB9">
                <w:rPr>
                  <w:rFonts w:ascii="Century Gothic" w:eastAsia="Calibri" w:hAnsi="Century Gothic" w:cs="Times New Roman"/>
                  <w:b/>
                  <w:bCs/>
                  <w:color w:val="0000FF"/>
                  <w:spacing w:val="0"/>
                  <w:sz w:val="24"/>
                  <w:szCs w:val="24"/>
                  <w:u w:val="single"/>
                </w:rPr>
                <w:t>https://theinstitute.umaryland.edu/2021traininginstitutes/schedule/</w:t>
              </w:r>
            </w:hyperlink>
          </w:p>
          <w:p w14:paraId="57CE2785" w14:textId="77777777" w:rsidR="00F25EE8" w:rsidRPr="00545CB9" w:rsidRDefault="00F25EE8" w:rsidP="00F25EE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545CB9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March Workshops:</w:t>
            </w:r>
          </w:p>
          <w:p w14:paraId="1ACF0CEF" w14:textId="77777777" w:rsidR="00F25EE8" w:rsidRPr="00545CB9" w:rsidRDefault="00F25EE8" w:rsidP="00F25EE8">
            <w:pPr>
              <w:numPr>
                <w:ilvl w:val="1"/>
                <w:numId w:val="29"/>
              </w:numPr>
              <w:spacing w:line="259" w:lineRule="auto"/>
              <w:contextualSpacing/>
              <w:rPr>
                <w:rFonts w:ascii="Century Gothic" w:eastAsia="Calibri" w:hAnsi="Century Gothic" w:cs="Times New Roman"/>
                <w:b/>
                <w:sz w:val="22"/>
              </w:rPr>
            </w:pPr>
            <w:r w:rsidRPr="00545CB9">
              <w:rPr>
                <w:rFonts w:ascii="Century Gothic" w:eastAsia="Calibri" w:hAnsi="Century Gothic" w:cs="Times New Roman"/>
                <w:sz w:val="22"/>
              </w:rPr>
              <w:t>Providing Comprehensive School Mental Health Services</w:t>
            </w:r>
          </w:p>
          <w:p w14:paraId="142FEAB8" w14:textId="77777777" w:rsidR="00F25EE8" w:rsidRPr="00545CB9" w:rsidRDefault="00F25EE8" w:rsidP="00F25EE8">
            <w:pPr>
              <w:numPr>
                <w:ilvl w:val="1"/>
                <w:numId w:val="29"/>
              </w:numPr>
              <w:spacing w:line="259" w:lineRule="auto"/>
              <w:contextualSpacing/>
              <w:rPr>
                <w:rFonts w:ascii="Century Gothic" w:eastAsia="Calibri" w:hAnsi="Century Gothic" w:cs="Times New Roman"/>
                <w:b/>
                <w:sz w:val="22"/>
              </w:rPr>
            </w:pPr>
            <w:r w:rsidRPr="00545CB9">
              <w:rPr>
                <w:rFonts w:ascii="Century Gothic" w:eastAsia="Calibri" w:hAnsi="Century Gothic" w:cs="Times New Roman"/>
                <w:sz w:val="22"/>
              </w:rPr>
              <w:t>Maximizing Telehealth Services to Reach Youth and Families</w:t>
            </w:r>
          </w:p>
          <w:p w14:paraId="0D4C49AC" w14:textId="77777777" w:rsidR="00F25EE8" w:rsidRPr="00545CB9" w:rsidRDefault="00F25EE8" w:rsidP="00F25EE8">
            <w:pPr>
              <w:numPr>
                <w:ilvl w:val="1"/>
                <w:numId w:val="29"/>
              </w:numPr>
              <w:spacing w:line="276" w:lineRule="auto"/>
              <w:rPr>
                <w:rFonts w:ascii="Century Gothic" w:eastAsia="Times New Roman" w:hAnsi="Century Gothic" w:cs="Times New Roman"/>
                <w:spacing w:val="0"/>
                <w:sz w:val="22"/>
              </w:rPr>
            </w:pPr>
            <w:r w:rsidRPr="00545CB9">
              <w:rPr>
                <w:rFonts w:ascii="Century Gothic" w:eastAsia="Calibri" w:hAnsi="Century Gothic" w:cs="Times New Roman"/>
                <w:spacing w:val="0"/>
                <w:sz w:val="22"/>
              </w:rPr>
              <w:t xml:space="preserve">Strategies for Implementing High-Fidelity Early Childhood Evidence-Based Practices </w:t>
            </w:r>
          </w:p>
          <w:p w14:paraId="42B30122" w14:textId="77777777" w:rsidR="00F25EE8" w:rsidRPr="00545CB9" w:rsidRDefault="00F25EE8" w:rsidP="00F25EE8">
            <w:pPr>
              <w:numPr>
                <w:ilvl w:val="1"/>
                <w:numId w:val="29"/>
              </w:numPr>
              <w:spacing w:line="276" w:lineRule="auto"/>
              <w:rPr>
                <w:rFonts w:ascii="Century Gothic" w:eastAsia="Times New Roman" w:hAnsi="Century Gothic" w:cs="Times New Roman"/>
                <w:spacing w:val="0"/>
                <w:sz w:val="22"/>
              </w:rPr>
            </w:pPr>
            <w:r w:rsidRPr="00545CB9">
              <w:rPr>
                <w:rFonts w:ascii="Century Gothic" w:eastAsia="Calibri" w:hAnsi="Century Gothic" w:cs="Times New Roman"/>
                <w:spacing w:val="0"/>
                <w:sz w:val="22"/>
              </w:rPr>
              <w:t>Building Youth Engagement Best Practices: Start with Assessment</w:t>
            </w:r>
          </w:p>
          <w:p w14:paraId="683F5149" w14:textId="77777777" w:rsidR="00F25EE8" w:rsidRPr="00545CB9" w:rsidRDefault="00F25EE8" w:rsidP="00F25EE8">
            <w:pPr>
              <w:numPr>
                <w:ilvl w:val="0"/>
                <w:numId w:val="29"/>
              </w:numPr>
              <w:spacing w:line="276" w:lineRule="auto"/>
              <w:rPr>
                <w:rFonts w:ascii="Century Gothic" w:eastAsia="Times New Roman" w:hAnsi="Century Gothic" w:cs="Times New Roman"/>
                <w:b/>
                <w:bCs/>
                <w:spacing w:val="0"/>
                <w:sz w:val="22"/>
              </w:rPr>
            </w:pPr>
            <w:r w:rsidRPr="00545CB9">
              <w:rPr>
                <w:rFonts w:ascii="Century Gothic" w:eastAsia="Calibri" w:hAnsi="Century Gothic" w:cs="Times New Roman"/>
                <w:b/>
                <w:bCs/>
                <w:spacing w:val="0"/>
                <w:sz w:val="22"/>
              </w:rPr>
              <w:t>April Workshop Opportunities:</w:t>
            </w:r>
          </w:p>
          <w:p w14:paraId="601E58DA" w14:textId="77777777" w:rsidR="00F25EE8" w:rsidRPr="00545CB9" w:rsidRDefault="00F25EE8" w:rsidP="00F25EE8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2"/>
              </w:rPr>
            </w:pPr>
            <w:r w:rsidRPr="00545CB9">
              <w:rPr>
                <w:rFonts w:ascii="Century Gothic" w:hAnsi="Century Gothic" w:cs="Calibri"/>
                <w:sz w:val="22"/>
              </w:rPr>
              <w:t>Making Change Stick: Implementing Bolder Policies to Enhance the Lives of Young Adults</w:t>
            </w:r>
          </w:p>
          <w:p w14:paraId="07437C4A" w14:textId="77777777" w:rsidR="00F25EE8" w:rsidRPr="00545CB9" w:rsidRDefault="00F25EE8" w:rsidP="00F25EE8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2"/>
              </w:rPr>
            </w:pPr>
            <w:r w:rsidRPr="00545CB9">
              <w:rPr>
                <w:rFonts w:ascii="Century Gothic" w:hAnsi="Century Gothic" w:cs="Calibri"/>
                <w:sz w:val="22"/>
              </w:rPr>
              <w:t>Using Data for Equity: Creating Capacity for Data-Driven Decision Making</w:t>
            </w:r>
          </w:p>
          <w:p w14:paraId="4303D53C" w14:textId="77777777" w:rsidR="00F25EE8" w:rsidRPr="00545CB9" w:rsidRDefault="00F25EE8" w:rsidP="00F25EE8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2"/>
              </w:rPr>
            </w:pPr>
            <w:r w:rsidRPr="00545CB9">
              <w:rPr>
                <w:rFonts w:ascii="Century Gothic" w:hAnsi="Century Gothic" w:cs="Calibri"/>
                <w:sz w:val="22"/>
              </w:rPr>
              <w:t>From Evidence to Impact: Implementing Effective Mental Health Services</w:t>
            </w:r>
          </w:p>
          <w:p w14:paraId="05183B0A" w14:textId="77777777" w:rsidR="00F25EE8" w:rsidRPr="00545CB9" w:rsidRDefault="00F25EE8" w:rsidP="00F25EE8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Calibri"/>
                <w:sz w:val="22"/>
              </w:rPr>
            </w:pPr>
            <w:r w:rsidRPr="00545CB9">
              <w:rPr>
                <w:rFonts w:ascii="Century Gothic" w:hAnsi="Century Gothic" w:cs="Calibri"/>
                <w:sz w:val="22"/>
              </w:rPr>
              <w:t>Accrediting Qualified Residential Treatment Programs Under the Family First Prevention Services Act: Lessons Learned</w:t>
            </w:r>
          </w:p>
          <w:p w14:paraId="0D9D92C0" w14:textId="77777777" w:rsidR="00F25EE8" w:rsidRPr="00CE7F69" w:rsidRDefault="00F25EE8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7113985A" w14:textId="77777777" w:rsidR="00F25EE8" w:rsidRPr="00545CB9" w:rsidRDefault="00F25EE8" w:rsidP="00F25EE8">
            <w:pPr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545CB9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SOC Academy June 8-10, 2021</w:t>
            </w:r>
          </w:p>
          <w:p w14:paraId="17C8B546" w14:textId="77777777" w:rsidR="00F25EE8" w:rsidRPr="00545CB9" w:rsidRDefault="00F25EE8" w:rsidP="00F25EE8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sz w:val="22"/>
              </w:rPr>
            </w:pPr>
            <w:r w:rsidRPr="00545CB9">
              <w:rPr>
                <w:rFonts w:ascii="Century Gothic" w:hAnsi="Century Gothic" w:cs="Calibri"/>
                <w:sz w:val="22"/>
              </w:rPr>
              <w:t>Will be virtual again</w:t>
            </w:r>
          </w:p>
          <w:p w14:paraId="09DF0C95" w14:textId="77777777" w:rsidR="00F25EE8" w:rsidRPr="00545CB9" w:rsidRDefault="00F25EE8" w:rsidP="00F25EE8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sz w:val="22"/>
              </w:rPr>
            </w:pPr>
            <w:r w:rsidRPr="00545CB9">
              <w:rPr>
                <w:rFonts w:ascii="Century Gothic" w:hAnsi="Century Gothic" w:cs="Calibri"/>
                <w:sz w:val="22"/>
              </w:rPr>
              <w:t xml:space="preserve">Registration opens </w:t>
            </w:r>
            <w:r w:rsidR="007D5213">
              <w:rPr>
                <w:rFonts w:ascii="Century Gothic" w:hAnsi="Century Gothic" w:cs="Calibri"/>
                <w:sz w:val="22"/>
              </w:rPr>
              <w:t xml:space="preserve">in </w:t>
            </w:r>
            <w:r w:rsidRPr="00545CB9">
              <w:rPr>
                <w:rFonts w:ascii="Century Gothic" w:hAnsi="Century Gothic" w:cs="Calibri"/>
                <w:sz w:val="22"/>
              </w:rPr>
              <w:t>April</w:t>
            </w:r>
          </w:p>
          <w:p w14:paraId="4CF274EA" w14:textId="77777777" w:rsidR="00F25EE8" w:rsidRPr="00545CB9" w:rsidRDefault="00F25EE8" w:rsidP="00F25EE8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sz w:val="22"/>
              </w:rPr>
            </w:pPr>
            <w:r w:rsidRPr="00545CB9">
              <w:rPr>
                <w:rFonts w:ascii="Century Gothic" w:hAnsi="Century Gothic" w:cs="Calibri"/>
                <w:sz w:val="22"/>
              </w:rPr>
              <w:t>Costs $75 per day or $200 for the 3 days</w:t>
            </w:r>
          </w:p>
          <w:p w14:paraId="0C7C051C" w14:textId="77777777" w:rsidR="00F25EE8" w:rsidRPr="00CE7F69" w:rsidRDefault="00F25EE8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0CDCBD52" w14:textId="77777777" w:rsidR="00B230B1" w:rsidRPr="00545CB9" w:rsidRDefault="00F25EE8" w:rsidP="00F25EE8">
            <w:pPr>
              <w:rPr>
                <w:rFonts w:ascii="Century Gothic" w:hAnsi="Century Gothic" w:cs="Calibri"/>
                <w:sz w:val="22"/>
              </w:rPr>
            </w:pPr>
            <w:r w:rsidRPr="00545CB9">
              <w:rPr>
                <w:rFonts w:ascii="Century Gothic" w:hAnsi="Century Gothic" w:cs="Calibri"/>
                <w:sz w:val="22"/>
              </w:rPr>
              <w:t>Determining Frontline DCBS Staff to attend per grant.</w:t>
            </w:r>
            <w:r w:rsidR="00B230B1">
              <w:rPr>
                <w:rFonts w:ascii="Century Gothic" w:hAnsi="Century Gothic" w:cs="Calibri"/>
                <w:sz w:val="22"/>
              </w:rPr>
              <w:t xml:space="preserve"> </w:t>
            </w:r>
          </w:p>
          <w:p w14:paraId="0B57A478" w14:textId="77777777" w:rsidR="00F25EE8" w:rsidRPr="00CE7F69" w:rsidRDefault="00F25EE8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AC56F6" w:rsidRPr="00CE7F69" w14:paraId="383C8C47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D885EE3" w14:textId="77777777" w:rsidR="00AC56F6" w:rsidRPr="00CE7F69" w:rsidRDefault="00AC56F6" w:rsidP="00AC56F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3AD160F" w14:textId="77777777" w:rsidR="00AC56F6" w:rsidRPr="00CE7F69" w:rsidRDefault="00AC56F6" w:rsidP="00AC56F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234375B" w14:textId="77777777" w:rsidR="00AC56F6" w:rsidRPr="00CE7F69" w:rsidRDefault="00AC56F6" w:rsidP="00AC56F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AC56F6" w:rsidRPr="00CE7F69" w14:paraId="68948FD6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DE610E" w14:textId="77777777" w:rsidR="00AC56F6" w:rsidRPr="009B1BFE" w:rsidRDefault="00AC56F6" w:rsidP="00AC56F6">
            <w:pPr>
              <w:pStyle w:val="BodyCopy"/>
              <w:rPr>
                <w:rFonts w:ascii="Century Gothic" w:hAnsi="Century Gothic" w:cs="Calibri"/>
                <w:sz w:val="22"/>
              </w:rPr>
            </w:pPr>
            <w:r w:rsidRPr="009B1BFE">
              <w:rPr>
                <w:rFonts w:ascii="Century Gothic" w:hAnsi="Century Gothic" w:cs="Calibri"/>
                <w:sz w:val="22"/>
              </w:rPr>
              <w:t>Share opportunities with staff and colleagues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3E00B8" w14:textId="77777777" w:rsidR="00AC56F6" w:rsidRPr="009B1BFE" w:rsidRDefault="00AC56F6" w:rsidP="00AC56F6">
            <w:pPr>
              <w:pStyle w:val="BodyCopy"/>
              <w:rPr>
                <w:rFonts w:ascii="Century Gothic" w:hAnsi="Century Gothic" w:cs="Calibri"/>
                <w:sz w:val="22"/>
              </w:rPr>
            </w:pPr>
            <w:r w:rsidRPr="009B1BFE">
              <w:rPr>
                <w:rFonts w:ascii="Century Gothic" w:hAnsi="Century Gothic" w:cs="Calibri"/>
                <w:sz w:val="22"/>
              </w:rPr>
              <w:t>All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AE7A3F" w14:textId="77777777" w:rsidR="00AC56F6" w:rsidRPr="009B1BFE" w:rsidRDefault="00AC56F6" w:rsidP="00AC56F6">
            <w:pPr>
              <w:pStyle w:val="BodyCopy"/>
              <w:rPr>
                <w:rFonts w:ascii="Century Gothic" w:hAnsi="Century Gothic" w:cs="Calibri"/>
                <w:sz w:val="22"/>
              </w:rPr>
            </w:pPr>
            <w:r w:rsidRPr="009B1BFE">
              <w:rPr>
                <w:rFonts w:ascii="Century Gothic" w:hAnsi="Century Gothic" w:cs="Calibri"/>
                <w:sz w:val="22"/>
              </w:rPr>
              <w:t>Monthly</w:t>
            </w:r>
          </w:p>
        </w:tc>
      </w:tr>
      <w:tr w:rsidR="00AC56F6" w:rsidRPr="00CE7F69" w14:paraId="3CE66515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5EF37D" w14:textId="77777777" w:rsidR="00AC56F6" w:rsidRPr="00CE7F69" w:rsidRDefault="00AC56F6" w:rsidP="00AC56F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AFC7B9" w14:textId="77777777" w:rsidR="00AC56F6" w:rsidRPr="00CE7F69" w:rsidRDefault="00AC56F6" w:rsidP="00AC56F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8DB85C" w14:textId="77777777" w:rsidR="00AC56F6" w:rsidRPr="00CE7F69" w:rsidRDefault="00AC56F6" w:rsidP="00AC56F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6DC0B14A" w14:textId="77777777" w:rsidR="00F25EE8" w:rsidRPr="00CE7F69" w:rsidRDefault="00F25EE8" w:rsidP="000649C0">
      <w:pPr>
        <w:rPr>
          <w:rFonts w:ascii="Century Gothic" w:hAnsi="Century Gothic" w:cs="Calibri"/>
          <w:sz w:val="24"/>
          <w:szCs w:val="40"/>
        </w:rPr>
      </w:pPr>
    </w:p>
    <w:p w14:paraId="145E5BD9" w14:textId="77777777" w:rsidR="00F25EE8" w:rsidRPr="00CE7F69" w:rsidRDefault="00F25EE8" w:rsidP="000649C0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0649C0" w:rsidRPr="00CE7F69" w14:paraId="3C00C00C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2F63FF8" w14:textId="77777777" w:rsidR="000649C0" w:rsidRPr="00CE7F69" w:rsidRDefault="00C51513" w:rsidP="006C0E65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color w:val="auto"/>
                <w:sz w:val="24"/>
                <w:szCs w:val="24"/>
              </w:rPr>
              <w:t>Screener/CANS Roll Out</w:t>
            </w:r>
          </w:p>
        </w:tc>
      </w:tr>
      <w:tr w:rsidR="000649C0" w:rsidRPr="00CE7F69" w14:paraId="2866DC9D" w14:textId="77777777" w:rsidTr="00C51513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D4539F" w14:textId="77777777" w:rsidR="00C51513" w:rsidRPr="00F36B6A" w:rsidRDefault="00902EFE" w:rsidP="00F36B6A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  <w:b/>
                <w:bCs/>
              </w:rPr>
            </w:pPr>
            <w:r w:rsidRPr="00F36B6A">
              <w:rPr>
                <w:rFonts w:ascii="Century Gothic" w:hAnsi="Century Gothic" w:cs="Calibri"/>
                <w:b/>
                <w:bCs/>
              </w:rPr>
              <w:t>Review Process</w:t>
            </w:r>
          </w:p>
          <w:p w14:paraId="0398BB47" w14:textId="77777777" w:rsidR="00111F19" w:rsidRPr="00F36B6A" w:rsidRDefault="00274214" w:rsidP="00D2660E">
            <w:pPr>
              <w:pStyle w:val="ListNumber"/>
              <w:numPr>
                <w:ilvl w:val="0"/>
                <w:numId w:val="0"/>
              </w:numPr>
              <w:spacing w:after="0"/>
              <w:ind w:left="360"/>
              <w:rPr>
                <w:rFonts w:ascii="Century Gothic" w:hAnsi="Century Gothic" w:cs="Calibri"/>
                <w:sz w:val="22"/>
                <w:szCs w:val="22"/>
              </w:rPr>
            </w:pPr>
            <w:r w:rsidRPr="00F36B6A">
              <w:rPr>
                <w:rFonts w:ascii="Century Gothic" w:hAnsi="Century Gothic" w:cs="Calibri"/>
                <w:sz w:val="22"/>
                <w:szCs w:val="22"/>
              </w:rPr>
              <w:t>DCBS Screener – Pilot Counties/Teams</w:t>
            </w:r>
            <w:r w:rsidR="00111F19" w:rsidRPr="00F36B6A">
              <w:rPr>
                <w:rFonts w:ascii="Century Gothic" w:hAnsi="Century Gothic" w:cs="Calibri"/>
                <w:sz w:val="22"/>
                <w:szCs w:val="22"/>
              </w:rPr>
              <w:t xml:space="preserve"> implemented 1/18/21 (Pulaski, Laurel, Special Investigations, and other counties that support Pulaski)</w:t>
            </w:r>
          </w:p>
          <w:p w14:paraId="15555555" w14:textId="77777777" w:rsidR="00274214" w:rsidRDefault="00274214" w:rsidP="00F36B6A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  <w:b/>
                <w:bCs/>
              </w:rPr>
            </w:pPr>
            <w:r w:rsidRPr="00F36B6A">
              <w:rPr>
                <w:rFonts w:ascii="Century Gothic" w:hAnsi="Century Gothic" w:cs="Calibri"/>
                <w:b/>
                <w:bCs/>
              </w:rPr>
              <w:t>Barriers</w:t>
            </w:r>
          </w:p>
          <w:p w14:paraId="05B75CBF" w14:textId="77777777" w:rsidR="00D2660E" w:rsidRDefault="00F36B6A" w:rsidP="00D2660E">
            <w:pPr>
              <w:ind w:left="420" w:hanging="420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      Many referrals for out of home youth and less for in-home.  Only 2 pilot counties are sending referrals for in-home, however the team expects more referrals due to difference in time frame (10 days</w:t>
            </w:r>
            <w:r w:rsidR="00387D83">
              <w:rPr>
                <w:rFonts w:ascii="Century Gothic" w:hAnsi="Century Gothic" w:cs="Calibri"/>
                <w:sz w:val="22"/>
              </w:rPr>
              <w:t xml:space="preserve"> out of home</w:t>
            </w:r>
            <w:r>
              <w:rPr>
                <w:rFonts w:ascii="Century Gothic" w:hAnsi="Century Gothic" w:cs="Calibri"/>
                <w:sz w:val="22"/>
              </w:rPr>
              <w:t xml:space="preserve"> vs. 30 days once investigations have begun)</w:t>
            </w:r>
          </w:p>
          <w:p w14:paraId="666DCE12" w14:textId="77777777" w:rsidR="009B1BFE" w:rsidRDefault="009B1BFE" w:rsidP="009B1BFE">
            <w:pPr>
              <w:rPr>
                <w:rFonts w:ascii="Century Gothic" w:hAnsi="Century Gothic" w:cs="Calibri"/>
                <w:sz w:val="22"/>
              </w:rPr>
            </w:pPr>
          </w:p>
          <w:p w14:paraId="1D877BB5" w14:textId="77777777" w:rsidR="00D2660E" w:rsidRDefault="00F36B6A" w:rsidP="009B1BFE">
            <w:pPr>
              <w:pStyle w:val="ListParagraph"/>
              <w:numPr>
                <w:ilvl w:val="0"/>
                <w:numId w:val="49"/>
              </w:numPr>
              <w:rPr>
                <w:rFonts w:ascii="Century Gothic" w:hAnsi="Century Gothic" w:cs="Calibri"/>
                <w:sz w:val="22"/>
              </w:rPr>
            </w:pPr>
            <w:r w:rsidRPr="009B1BFE">
              <w:rPr>
                <w:rFonts w:ascii="Century Gothic" w:hAnsi="Century Gothic" w:cs="Calibri"/>
                <w:sz w:val="22"/>
              </w:rPr>
              <w:t xml:space="preserve">DCBS Screener results may show no need for CANS assessment; however, a family can still request a CANS from BHP/referral from DCBS  </w:t>
            </w:r>
          </w:p>
          <w:p w14:paraId="71A18932" w14:textId="77777777" w:rsidR="009B1BFE" w:rsidRPr="009B1BFE" w:rsidRDefault="009B1BFE" w:rsidP="009B1BFE">
            <w:pPr>
              <w:pStyle w:val="ListParagraph"/>
              <w:rPr>
                <w:rFonts w:ascii="Century Gothic" w:hAnsi="Century Gothic" w:cs="Calibri"/>
                <w:sz w:val="22"/>
              </w:rPr>
            </w:pPr>
          </w:p>
          <w:p w14:paraId="5D193714" w14:textId="77777777" w:rsidR="00D2660E" w:rsidRPr="009B1BFE" w:rsidRDefault="00D2660E" w:rsidP="009B1BFE">
            <w:pPr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9B1BFE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Comments:</w:t>
            </w:r>
          </w:p>
          <w:p w14:paraId="2B62D41B" w14:textId="77777777" w:rsidR="00F36B6A" w:rsidRPr="00F27914" w:rsidRDefault="00F36B6A" w:rsidP="00F36B6A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sz w:val="22"/>
              </w:rPr>
            </w:pPr>
            <w:r w:rsidRPr="00F27914">
              <w:rPr>
                <w:rFonts w:ascii="Century Gothic" w:hAnsi="Century Gothic" w:cs="Calibri"/>
                <w:sz w:val="22"/>
              </w:rPr>
              <w:lastRenderedPageBreak/>
              <w:t>Do workers re-screen if circumstances change? Would a referral be made?</w:t>
            </w:r>
          </w:p>
          <w:p w14:paraId="096FE17C" w14:textId="77777777" w:rsidR="00F36B6A" w:rsidRDefault="00F36B6A" w:rsidP="00F36B6A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sz w:val="22"/>
              </w:rPr>
            </w:pPr>
            <w:r w:rsidRPr="00F27914">
              <w:rPr>
                <w:rFonts w:ascii="Century Gothic" w:hAnsi="Century Gothic" w:cs="Calibri"/>
                <w:sz w:val="22"/>
              </w:rPr>
              <w:t xml:space="preserve">Are we narrowing out potential youth who could benefit from a CANS based on the screener tool? </w:t>
            </w:r>
          </w:p>
          <w:p w14:paraId="242A0513" w14:textId="77777777" w:rsidR="00D2660E" w:rsidRDefault="00D2660E" w:rsidP="00F36B6A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We do not want to burden families with assessments if they are not necessary</w:t>
            </w:r>
          </w:p>
          <w:p w14:paraId="7B117820" w14:textId="77777777" w:rsidR="00F36B6A" w:rsidRDefault="00F36B6A" w:rsidP="00F36B6A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Once rolled out in more counties, numbers should go up </w:t>
            </w:r>
          </w:p>
          <w:p w14:paraId="683A55BD" w14:textId="77777777" w:rsidR="002C16E3" w:rsidRDefault="002C16E3" w:rsidP="00F36B6A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Also, BHPs can look at current caseloads—for </w:t>
            </w:r>
            <w:r w:rsidR="0041186D">
              <w:rPr>
                <w:rFonts w:ascii="Century Gothic" w:hAnsi="Century Gothic" w:cs="Calibri"/>
                <w:sz w:val="22"/>
              </w:rPr>
              <w:t>youth who have received the initial CANS assessment.</w:t>
            </w:r>
          </w:p>
          <w:p w14:paraId="20F82614" w14:textId="77777777" w:rsidR="00AC6706" w:rsidRDefault="007D1C34" w:rsidP="00F36B6A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A Data Element Workgroup is working on the way data is collected from BHPs on DCBS involvement. This was mentioned in terms of </w:t>
            </w:r>
            <w:r w:rsidR="00B75CBA">
              <w:rPr>
                <w:rFonts w:ascii="Century Gothic" w:hAnsi="Century Gothic" w:cs="Calibri"/>
                <w:sz w:val="22"/>
              </w:rPr>
              <w:t>thinking about whether youth would count in the population focus.</w:t>
            </w:r>
          </w:p>
          <w:p w14:paraId="6AD98EC0" w14:textId="77777777" w:rsidR="00F36B6A" w:rsidRPr="00CE7F69" w:rsidRDefault="00F36B6A" w:rsidP="00F36B6A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37465283" w14:textId="77777777" w:rsidR="00F36B6A" w:rsidRPr="00D2660E" w:rsidRDefault="00F36B6A" w:rsidP="00D2660E">
            <w:pPr>
              <w:pStyle w:val="ListParagraph"/>
              <w:numPr>
                <w:ilvl w:val="0"/>
                <w:numId w:val="48"/>
              </w:numPr>
              <w:ind w:left="330" w:hanging="330"/>
              <w:rPr>
                <w:rFonts w:ascii="Century Gothic" w:hAnsi="Century Gothic" w:cs="Calibri"/>
                <w:sz w:val="22"/>
              </w:rPr>
            </w:pPr>
            <w:r w:rsidRPr="00D2660E">
              <w:rPr>
                <w:rFonts w:ascii="Century Gothic" w:hAnsi="Century Gothic" w:cs="Calibri"/>
                <w:sz w:val="22"/>
              </w:rPr>
              <w:t xml:space="preserve">Screener Roll Out &amp; Brochure Roll Out: order request will be put in and color copies will be distributed to implementing counties </w:t>
            </w:r>
          </w:p>
          <w:p w14:paraId="1FD841AF" w14:textId="77777777" w:rsidR="00F36B6A" w:rsidRPr="00F36B6A" w:rsidRDefault="00F36B6A" w:rsidP="00D2660E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  <w:sz w:val="22"/>
                <w:szCs w:val="22"/>
              </w:rPr>
            </w:pPr>
          </w:p>
          <w:p w14:paraId="465CA519" w14:textId="7FE209F5" w:rsidR="00C51513" w:rsidRPr="00F36B6A" w:rsidRDefault="00274214" w:rsidP="00F36B6A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  <w:sz w:val="22"/>
                <w:szCs w:val="22"/>
              </w:rPr>
            </w:pPr>
            <w:r w:rsidRPr="00CE7F69">
              <w:rPr>
                <w:rFonts w:ascii="Century Gothic" w:hAnsi="Century Gothic" w:cs="Calibri"/>
                <w:b/>
              </w:rPr>
              <w:t>REMEMBER:</w:t>
            </w:r>
            <w:r w:rsidRPr="00CE7F69">
              <w:rPr>
                <w:rFonts w:ascii="Century Gothic" w:hAnsi="Century Gothic" w:cs="Calibri"/>
              </w:rPr>
              <w:t xml:space="preserve"> </w:t>
            </w:r>
            <w:r w:rsidRPr="00F36B6A">
              <w:rPr>
                <w:rFonts w:ascii="Century Gothic" w:hAnsi="Century Gothic" w:cs="Calibri"/>
                <w:sz w:val="22"/>
                <w:szCs w:val="22"/>
              </w:rPr>
              <w:t xml:space="preserve">staff can refer families to CMHC for CANS and services with </w:t>
            </w:r>
            <w:r w:rsidR="00681015">
              <w:rPr>
                <w:rFonts w:ascii="Century Gothic" w:hAnsi="Century Gothic" w:cs="Calibri"/>
                <w:sz w:val="22"/>
                <w:szCs w:val="22"/>
              </w:rPr>
              <w:t>or</w:t>
            </w:r>
            <w:r w:rsidRPr="00F36B6A">
              <w:rPr>
                <w:rFonts w:ascii="Century Gothic" w:hAnsi="Century Gothic" w:cs="Calibri"/>
                <w:sz w:val="22"/>
                <w:szCs w:val="22"/>
              </w:rPr>
              <w:t xml:space="preserve"> without DCBS Screener in every county of the region.  Utilize BH referral form, send to CMHC gatekeeper (not DCBS Gatekeeper).</w:t>
            </w:r>
          </w:p>
          <w:p w14:paraId="6B3697B5" w14:textId="51E15DC6" w:rsidR="002028C0" w:rsidRPr="00CE7F69" w:rsidRDefault="002028C0" w:rsidP="00F36B6A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</w:rPr>
            </w:pPr>
            <w:r w:rsidRPr="00F36B6A">
              <w:rPr>
                <w:rFonts w:ascii="Century Gothic" w:hAnsi="Century Gothic" w:cs="Calibri"/>
                <w:sz w:val="22"/>
                <w:szCs w:val="22"/>
              </w:rPr>
              <w:t>If youth</w:t>
            </w:r>
            <w:r w:rsidR="00B230B1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00F36B6A">
              <w:rPr>
                <w:rFonts w:ascii="Century Gothic" w:hAnsi="Century Gothic" w:cs="Calibri"/>
                <w:sz w:val="22"/>
                <w:szCs w:val="22"/>
              </w:rPr>
              <w:t>removed from home and D/C from CMHC provision, will be no longer counted.</w:t>
            </w:r>
          </w:p>
        </w:tc>
      </w:tr>
      <w:tr w:rsidR="000649C0" w:rsidRPr="00CE7F69" w14:paraId="66A3ABAD" w14:textId="77777777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D2A2F35" w14:textId="77777777" w:rsidR="000649C0" w:rsidRPr="00CE7F69" w:rsidRDefault="000649C0" w:rsidP="006C0E6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661B243" w14:textId="77777777" w:rsidR="000649C0" w:rsidRPr="00CE7F69" w:rsidRDefault="000649C0" w:rsidP="006C0E6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D007C0D" w14:textId="77777777" w:rsidR="000649C0" w:rsidRPr="00CE7F69" w:rsidRDefault="000649C0" w:rsidP="006C0E6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DF669F" w:rsidRPr="00CE7F69" w14:paraId="2FE21E3C" w14:textId="77777777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FE0B74" w14:textId="77777777" w:rsidR="00DF669F" w:rsidRPr="00D2660E" w:rsidRDefault="00D2660E" w:rsidP="006C0E65">
            <w:pPr>
              <w:pStyle w:val="BodyCopy"/>
              <w:rPr>
                <w:rFonts w:ascii="Century Gothic" w:hAnsi="Century Gothic" w:cs="Calibri"/>
                <w:sz w:val="22"/>
              </w:rPr>
            </w:pPr>
            <w:r w:rsidRPr="00D2660E">
              <w:rPr>
                <w:rFonts w:ascii="Century Gothic" w:hAnsi="Century Gothic" w:cs="Calibri"/>
                <w:sz w:val="22"/>
              </w:rPr>
              <w:t>Brochure Roll Out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0A216E" w14:textId="77777777" w:rsidR="00DF669F" w:rsidRPr="00D2660E" w:rsidRDefault="00D2660E" w:rsidP="006C0E65">
            <w:pPr>
              <w:pStyle w:val="BodyCopy"/>
              <w:rPr>
                <w:rFonts w:ascii="Century Gothic" w:hAnsi="Century Gothic" w:cs="Calibri"/>
                <w:sz w:val="22"/>
              </w:rPr>
            </w:pPr>
            <w:r w:rsidRPr="00D2660E">
              <w:rPr>
                <w:rFonts w:ascii="Century Gothic" w:hAnsi="Century Gothic" w:cs="Calibri"/>
                <w:sz w:val="22"/>
              </w:rPr>
              <w:t xml:space="preserve">Dee Dee 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B14CF4" w14:textId="77777777" w:rsidR="00DF669F" w:rsidRPr="00D2660E" w:rsidRDefault="00D2660E" w:rsidP="006C0E65">
            <w:pPr>
              <w:pStyle w:val="BodyCopy"/>
              <w:rPr>
                <w:rFonts w:ascii="Century Gothic" w:hAnsi="Century Gothic" w:cs="Calibri"/>
                <w:sz w:val="22"/>
              </w:rPr>
            </w:pPr>
            <w:r w:rsidRPr="00D2660E">
              <w:rPr>
                <w:rFonts w:ascii="Century Gothic" w:hAnsi="Century Gothic" w:cs="Calibri"/>
                <w:sz w:val="22"/>
              </w:rPr>
              <w:t>April 2021</w:t>
            </w:r>
          </w:p>
        </w:tc>
      </w:tr>
      <w:tr w:rsidR="00DF669F" w:rsidRPr="00CE7F69" w14:paraId="7281C616" w14:textId="77777777" w:rsidTr="00C51513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AEA55D" w14:textId="77777777" w:rsidR="00DF669F" w:rsidRPr="00CE7F69" w:rsidRDefault="00DF669F" w:rsidP="006C0E6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0A91CB" w14:textId="77777777" w:rsidR="00DF669F" w:rsidRPr="00CE7F69" w:rsidRDefault="00DF669F" w:rsidP="006C0E6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87C448" w14:textId="77777777" w:rsidR="00DF669F" w:rsidRPr="00CE7F69" w:rsidRDefault="00DF669F" w:rsidP="006C0E6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77992237" w14:textId="77777777" w:rsidR="00902EFE" w:rsidRPr="00CE7F69" w:rsidRDefault="00902EFE">
      <w:pPr>
        <w:rPr>
          <w:rFonts w:ascii="Century Gothic" w:hAnsi="Century Gothic" w:cs="Calibri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902EFE" w:rsidRPr="00CE7F69" w14:paraId="6A66AB10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8C28B4B" w14:textId="77777777" w:rsidR="00902EFE" w:rsidRPr="00CE7F69" w:rsidRDefault="00902EFE" w:rsidP="00CF294F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color w:val="auto"/>
                <w:sz w:val="24"/>
                <w:szCs w:val="24"/>
              </w:rPr>
              <w:t>Data &amp; Evaluation</w:t>
            </w:r>
            <w:r w:rsidR="0022578C" w:rsidRPr="00CE7F69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– Dr. Chithra Adams</w:t>
            </w:r>
          </w:p>
        </w:tc>
      </w:tr>
      <w:tr w:rsidR="00902EFE" w:rsidRPr="00CE7F69" w14:paraId="04CDE69F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BD7773" w14:textId="77777777" w:rsidR="00900459" w:rsidRPr="00545CB9" w:rsidRDefault="00F25EE8" w:rsidP="0090045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  <w:b/>
                <w:bCs/>
              </w:rPr>
            </w:pPr>
            <w:r w:rsidRPr="00545CB9">
              <w:rPr>
                <w:rFonts w:ascii="Century Gothic" w:hAnsi="Century Gothic" w:cs="Calibri"/>
                <w:b/>
                <w:bCs/>
              </w:rPr>
              <w:t>February’s</w:t>
            </w:r>
            <w:r w:rsidR="00B70951" w:rsidRPr="00545CB9">
              <w:rPr>
                <w:rFonts w:ascii="Century Gothic" w:hAnsi="Century Gothic" w:cs="Calibri"/>
                <w:b/>
                <w:bCs/>
              </w:rPr>
              <w:t xml:space="preserve"> Screener/CANS Numbers</w:t>
            </w:r>
            <w:r w:rsidR="00545CB9">
              <w:rPr>
                <w:rFonts w:ascii="Century Gothic" w:hAnsi="Century Gothic" w:cs="Calibri"/>
                <w:b/>
                <w:bCs/>
              </w:rPr>
              <w:t xml:space="preserve"> </w:t>
            </w:r>
            <w:r w:rsidR="00545CB9" w:rsidRPr="00D2660E">
              <w:rPr>
                <w:rFonts w:ascii="Century Gothic" w:hAnsi="Century Gothic" w:cs="Calibri"/>
                <w:b/>
                <w:bCs/>
              </w:rPr>
              <w:t>(cumulative total</w:t>
            </w:r>
            <w:r w:rsidR="00F36B6A" w:rsidRPr="00D2660E">
              <w:rPr>
                <w:rFonts w:ascii="Century Gothic" w:hAnsi="Century Gothic" w:cs="Calibri"/>
                <w:b/>
                <w:bCs/>
              </w:rPr>
              <w:t>s</w:t>
            </w:r>
            <w:r w:rsidR="00545CB9" w:rsidRPr="00D2660E">
              <w:rPr>
                <w:rFonts w:ascii="Century Gothic" w:hAnsi="Century Gothic" w:cs="Calibri"/>
                <w:b/>
                <w:bCs/>
              </w:rPr>
              <w:t>)</w:t>
            </w:r>
          </w:p>
          <w:p w14:paraId="229C7389" w14:textId="77777777" w:rsidR="007B0558" w:rsidRPr="00545CB9" w:rsidRDefault="00602A96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  <w:sz w:val="22"/>
                <w:szCs w:val="22"/>
              </w:rPr>
            </w:pPr>
            <w:r w:rsidRPr="00545CB9">
              <w:rPr>
                <w:rFonts w:ascii="Century Gothic" w:hAnsi="Century Gothic" w:cs="Calibri"/>
                <w:sz w:val="22"/>
                <w:szCs w:val="22"/>
              </w:rPr>
              <w:t>Number of screeners completed</w:t>
            </w:r>
            <w:r w:rsidR="009D224A" w:rsidRPr="00545CB9">
              <w:rPr>
                <w:rFonts w:ascii="Century Gothic" w:hAnsi="Century Gothic" w:cs="Calibri"/>
                <w:sz w:val="22"/>
                <w:szCs w:val="22"/>
              </w:rPr>
              <w:t xml:space="preserve"> - </w:t>
            </w:r>
            <w:r w:rsidR="00545CB9">
              <w:rPr>
                <w:rFonts w:ascii="Century Gothic" w:hAnsi="Century Gothic" w:cs="Calibri"/>
                <w:sz w:val="22"/>
                <w:szCs w:val="22"/>
              </w:rPr>
              <w:t>15</w:t>
            </w:r>
          </w:p>
          <w:p w14:paraId="670912E1" w14:textId="77777777" w:rsidR="00602A96" w:rsidRPr="00545CB9" w:rsidRDefault="00602A96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  <w:sz w:val="22"/>
                <w:szCs w:val="22"/>
              </w:rPr>
            </w:pPr>
            <w:r w:rsidRPr="00545CB9">
              <w:rPr>
                <w:rFonts w:ascii="Century Gothic" w:hAnsi="Century Gothic" w:cs="Calibri"/>
                <w:sz w:val="22"/>
                <w:szCs w:val="22"/>
              </w:rPr>
              <w:t>Number of referrals made for CANS</w:t>
            </w:r>
            <w:r w:rsidR="009D224A" w:rsidRPr="00545CB9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="00545CB9">
              <w:rPr>
                <w:rFonts w:ascii="Century Gothic" w:hAnsi="Century Gothic" w:cs="Calibri"/>
                <w:sz w:val="22"/>
                <w:szCs w:val="22"/>
              </w:rPr>
              <w:t>–</w:t>
            </w:r>
            <w:r w:rsidR="009D224A" w:rsidRPr="00545CB9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="00545CB9">
              <w:rPr>
                <w:rFonts w:ascii="Century Gothic" w:hAnsi="Century Gothic" w:cs="Calibri"/>
                <w:sz w:val="22"/>
                <w:szCs w:val="22"/>
              </w:rPr>
              <w:t>2 (of 15 were screened in)</w:t>
            </w:r>
          </w:p>
          <w:p w14:paraId="62261FD9" w14:textId="77777777" w:rsidR="00602A96" w:rsidRPr="00545CB9" w:rsidRDefault="00602A96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  <w:sz w:val="22"/>
                <w:szCs w:val="22"/>
              </w:rPr>
            </w:pPr>
            <w:r w:rsidRPr="00545CB9">
              <w:rPr>
                <w:rFonts w:ascii="Century Gothic" w:hAnsi="Century Gothic" w:cs="Calibri"/>
                <w:sz w:val="22"/>
                <w:szCs w:val="22"/>
              </w:rPr>
              <w:t xml:space="preserve">Number of </w:t>
            </w:r>
            <w:r w:rsidR="00545CB9" w:rsidRPr="00545CB9">
              <w:rPr>
                <w:rFonts w:ascii="Century Gothic" w:hAnsi="Century Gothic" w:cs="Calibri"/>
                <w:sz w:val="22"/>
                <w:szCs w:val="22"/>
              </w:rPr>
              <w:t>children/youths</w:t>
            </w:r>
            <w:r w:rsidRPr="00545CB9">
              <w:rPr>
                <w:rFonts w:ascii="Century Gothic" w:hAnsi="Century Gothic" w:cs="Calibri"/>
                <w:sz w:val="22"/>
                <w:szCs w:val="22"/>
              </w:rPr>
              <w:t xml:space="preserve"> refused or denied screening</w:t>
            </w:r>
            <w:r w:rsidR="009D224A" w:rsidRPr="00545CB9">
              <w:rPr>
                <w:rFonts w:ascii="Century Gothic" w:hAnsi="Century Gothic" w:cs="Calibri"/>
                <w:sz w:val="22"/>
                <w:szCs w:val="22"/>
              </w:rPr>
              <w:t xml:space="preserve"> - </w:t>
            </w:r>
            <w:r w:rsidR="00545CB9">
              <w:rPr>
                <w:rFonts w:ascii="Century Gothic" w:hAnsi="Century Gothic" w:cs="Calibri"/>
                <w:sz w:val="22"/>
                <w:szCs w:val="22"/>
              </w:rPr>
              <w:t>0</w:t>
            </w:r>
          </w:p>
          <w:p w14:paraId="6BA0A710" w14:textId="77777777" w:rsidR="00602A96" w:rsidRPr="00545CB9" w:rsidRDefault="00602A96" w:rsidP="00902EFE">
            <w:pPr>
              <w:pStyle w:val="ListNumber"/>
              <w:numPr>
                <w:ilvl w:val="0"/>
                <w:numId w:val="29"/>
              </w:numPr>
              <w:spacing w:after="0"/>
              <w:rPr>
                <w:rFonts w:ascii="Century Gothic" w:hAnsi="Century Gothic" w:cs="Calibri"/>
                <w:sz w:val="22"/>
                <w:szCs w:val="22"/>
              </w:rPr>
            </w:pPr>
            <w:r w:rsidRPr="00545CB9">
              <w:rPr>
                <w:rFonts w:ascii="Century Gothic" w:hAnsi="Century Gothic" w:cs="Calibri"/>
                <w:sz w:val="22"/>
                <w:szCs w:val="22"/>
              </w:rPr>
              <w:t xml:space="preserve">Number of </w:t>
            </w:r>
            <w:r w:rsidR="00F27914">
              <w:rPr>
                <w:rFonts w:ascii="Century Gothic" w:hAnsi="Century Gothic" w:cs="Calibri"/>
                <w:sz w:val="22"/>
                <w:szCs w:val="22"/>
              </w:rPr>
              <w:t xml:space="preserve">initial </w:t>
            </w:r>
            <w:r w:rsidRPr="00545CB9">
              <w:rPr>
                <w:rFonts w:ascii="Century Gothic" w:hAnsi="Century Gothic" w:cs="Calibri"/>
                <w:sz w:val="22"/>
                <w:szCs w:val="22"/>
              </w:rPr>
              <w:t>CANS completed</w:t>
            </w:r>
            <w:r w:rsidR="009D224A" w:rsidRPr="00545CB9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="00545CB9">
              <w:rPr>
                <w:rFonts w:ascii="Century Gothic" w:hAnsi="Century Gothic" w:cs="Calibri"/>
                <w:sz w:val="22"/>
                <w:szCs w:val="22"/>
              </w:rPr>
              <w:t>–</w:t>
            </w:r>
            <w:r w:rsidR="009D224A" w:rsidRPr="00545CB9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="00F27914">
              <w:rPr>
                <w:rFonts w:ascii="Century Gothic" w:hAnsi="Century Gothic" w:cs="Calibri"/>
                <w:sz w:val="22"/>
                <w:szCs w:val="22"/>
              </w:rPr>
              <w:t>15</w:t>
            </w:r>
          </w:p>
          <w:p w14:paraId="0D360BD9" w14:textId="77777777" w:rsidR="00D2660E" w:rsidRPr="00154423" w:rsidRDefault="00D2660E" w:rsidP="00D2660E">
            <w:pPr>
              <w:pStyle w:val="ListParagraph"/>
              <w:ind w:left="360"/>
              <w:rPr>
                <w:rFonts w:ascii="Century Gothic" w:hAnsi="Century Gothic" w:cs="Calibri"/>
                <w:sz w:val="22"/>
              </w:rPr>
            </w:pPr>
          </w:p>
          <w:p w14:paraId="6D714132" w14:textId="77777777" w:rsidR="00154423" w:rsidRDefault="00F27914" w:rsidP="00F27914">
            <w:pPr>
              <w:rPr>
                <w:rFonts w:ascii="Century Gothic" w:hAnsi="Century Gothic" w:cs="Calibri"/>
                <w:sz w:val="22"/>
              </w:rPr>
            </w:pPr>
            <w:r w:rsidRPr="00F27914">
              <w:rPr>
                <w:rFonts w:ascii="Century Gothic" w:hAnsi="Century Gothic" w:cs="Calibri"/>
                <w:sz w:val="22"/>
              </w:rPr>
              <w:t xml:space="preserve">Please provide feedback so </w:t>
            </w:r>
            <w:r w:rsidR="00D2660E">
              <w:rPr>
                <w:rFonts w:ascii="Century Gothic" w:hAnsi="Century Gothic" w:cs="Calibri"/>
                <w:sz w:val="22"/>
              </w:rPr>
              <w:t>data/collection</w:t>
            </w:r>
            <w:r w:rsidRPr="00F27914">
              <w:rPr>
                <w:rFonts w:ascii="Century Gothic" w:hAnsi="Century Gothic" w:cs="Calibri"/>
                <w:sz w:val="22"/>
              </w:rPr>
              <w:t xml:space="preserve"> can improve</w:t>
            </w:r>
            <w:r>
              <w:rPr>
                <w:rFonts w:ascii="Century Gothic" w:hAnsi="Century Gothic" w:cs="Calibri"/>
                <w:sz w:val="22"/>
              </w:rPr>
              <w:t xml:space="preserve">. </w:t>
            </w:r>
          </w:p>
          <w:p w14:paraId="2CDF124D" w14:textId="77777777" w:rsidR="009D224A" w:rsidRPr="00CE7F69" w:rsidRDefault="009D224A" w:rsidP="00F36B6A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902EFE" w:rsidRPr="00CE7F69" w14:paraId="0CD16217" w14:textId="77777777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A1522A6" w14:textId="77777777" w:rsidR="00902EFE" w:rsidRPr="00CE7F69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DF1FAF" w14:textId="77777777" w:rsidR="00902EFE" w:rsidRPr="00CE7F69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5CF4D32" w14:textId="77777777" w:rsidR="00902EFE" w:rsidRPr="00CE7F69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431FE1" w:rsidRPr="00CE7F69" w14:paraId="6EAEA7A5" w14:textId="77777777" w:rsidTr="00431FE1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549" w:type="dxa"/>
          </w:tcPr>
          <w:p w14:paraId="57ACC78C" w14:textId="77777777" w:rsidR="00431FE1" w:rsidRPr="00CE7F69" w:rsidRDefault="00431FE1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</w:tcPr>
          <w:p w14:paraId="1A7032BC" w14:textId="77777777" w:rsidR="00431FE1" w:rsidRPr="00CE7F69" w:rsidRDefault="00431FE1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D5706D9" w14:textId="77777777" w:rsidR="00431FE1" w:rsidRPr="00CE7F69" w:rsidRDefault="00431FE1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902EFE" w:rsidRPr="00CE7F69" w14:paraId="71AA0BE3" w14:textId="77777777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624599" w14:textId="77777777" w:rsidR="00902EFE" w:rsidRPr="00CE7F69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14E4B5" w14:textId="77777777" w:rsidR="00902EFE" w:rsidRPr="00CE7F69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96E3B3" w14:textId="77777777" w:rsidR="00902EFE" w:rsidRPr="00CE7F69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2396F6B5" w14:textId="77777777" w:rsidR="007F08B0" w:rsidRPr="00CE7F69" w:rsidRDefault="007F08B0" w:rsidP="0059714D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6"/>
        <w:gridCol w:w="1706"/>
        <w:gridCol w:w="2543"/>
      </w:tblGrid>
      <w:tr w:rsidR="00731D5E" w:rsidRPr="00CE7F69" w14:paraId="56907638" w14:textId="77777777" w:rsidTr="0097390A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183563E" w14:textId="77777777" w:rsidR="00731D5E" w:rsidRPr="00CE7F69" w:rsidRDefault="00731D5E" w:rsidP="0097390A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color w:val="auto"/>
                <w:sz w:val="24"/>
                <w:szCs w:val="24"/>
              </w:rPr>
              <w:t>Agency Update</w:t>
            </w:r>
          </w:p>
        </w:tc>
      </w:tr>
      <w:tr w:rsidR="00731D5E" w:rsidRPr="00CE7F69" w14:paraId="6E5D127A" w14:textId="77777777" w:rsidTr="0097390A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14192F" w14:textId="77777777" w:rsidR="00731D5E" w:rsidRPr="00D17701" w:rsidRDefault="00731D5E" w:rsidP="0097390A">
            <w:pPr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D17701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SOC FIVE:</w:t>
            </w:r>
          </w:p>
          <w:p w14:paraId="41170DEB" w14:textId="77777777" w:rsidR="00D17701" w:rsidRDefault="00783797" w:rsidP="00D1770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sz w:val="22"/>
              </w:rPr>
            </w:pPr>
            <w:r w:rsidRPr="00D17701">
              <w:rPr>
                <w:rFonts w:ascii="Century Gothic" w:hAnsi="Century Gothic" w:cs="Calibri"/>
                <w:sz w:val="22"/>
              </w:rPr>
              <w:t>Partner Fu</w:t>
            </w:r>
            <w:r w:rsidR="009D224A" w:rsidRPr="00D17701">
              <w:rPr>
                <w:rFonts w:ascii="Century Gothic" w:hAnsi="Century Gothic" w:cs="Calibri"/>
                <w:sz w:val="22"/>
              </w:rPr>
              <w:t xml:space="preserve">nding Request coming out </w:t>
            </w:r>
            <w:r w:rsidR="00D17701" w:rsidRPr="00D17701">
              <w:rPr>
                <w:rFonts w:ascii="Century Gothic" w:hAnsi="Century Gothic" w:cs="Calibri"/>
                <w:sz w:val="22"/>
              </w:rPr>
              <w:t>today. Maxine will send out again; please share with others</w:t>
            </w:r>
            <w:r w:rsidR="000C4A30">
              <w:rPr>
                <w:rFonts w:ascii="Century Gothic" w:hAnsi="Century Gothic" w:cs="Calibri"/>
                <w:sz w:val="22"/>
              </w:rPr>
              <w:t>;</w:t>
            </w:r>
            <w:r w:rsidR="00D17701" w:rsidRPr="00D17701">
              <w:rPr>
                <w:rFonts w:ascii="Century Gothic" w:hAnsi="Century Gothic" w:cs="Calibri"/>
                <w:sz w:val="22"/>
              </w:rPr>
              <w:t xml:space="preserve"> any entity in the state can apply</w:t>
            </w:r>
            <w:r w:rsidR="008A5EE3">
              <w:rPr>
                <w:rFonts w:ascii="Century Gothic" w:hAnsi="Century Gothic" w:cs="Calibri"/>
                <w:sz w:val="22"/>
              </w:rPr>
              <w:t xml:space="preserve"> </w:t>
            </w:r>
            <w:r w:rsidR="000C4A30">
              <w:rPr>
                <w:rFonts w:ascii="Century Gothic" w:hAnsi="Century Gothic" w:cs="Calibri"/>
                <w:sz w:val="22"/>
              </w:rPr>
              <w:t>(schools/churches, etc.)</w:t>
            </w:r>
            <w:r w:rsidR="00D17701">
              <w:rPr>
                <w:rFonts w:ascii="Century Gothic" w:hAnsi="Century Gothic" w:cs="Calibri"/>
                <w:sz w:val="22"/>
              </w:rPr>
              <w:t xml:space="preserve">.  Must positively impact the youth of focus.  Can be used for training or practice, no cap/no minimum.  Average award is around $5,000.  Dee Dee will check to </w:t>
            </w:r>
            <w:r w:rsidR="00D17701">
              <w:rPr>
                <w:rFonts w:ascii="Century Gothic" w:hAnsi="Century Gothic" w:cs="Calibri"/>
                <w:sz w:val="22"/>
              </w:rPr>
              <w:lastRenderedPageBreak/>
              <w:t>see if it can be applied for/used to send staff to SOC Academy</w:t>
            </w:r>
            <w:r w:rsidR="00B63B05">
              <w:rPr>
                <w:rFonts w:ascii="Century Gothic" w:hAnsi="Century Gothic" w:cs="Calibri"/>
                <w:sz w:val="22"/>
              </w:rPr>
              <w:t xml:space="preserve"> (can use safety net funding for this training)</w:t>
            </w:r>
          </w:p>
          <w:p w14:paraId="2C7DD54D" w14:textId="77777777" w:rsidR="00D2660E" w:rsidRPr="00D17701" w:rsidRDefault="00D2660E" w:rsidP="00D2660E">
            <w:pPr>
              <w:pStyle w:val="ListParagraph"/>
              <w:ind w:left="360"/>
              <w:rPr>
                <w:rFonts w:ascii="Century Gothic" w:hAnsi="Century Gothic" w:cs="Calibri"/>
                <w:sz w:val="22"/>
              </w:rPr>
            </w:pPr>
          </w:p>
          <w:p w14:paraId="726CB825" w14:textId="77777777" w:rsidR="009D224A" w:rsidRPr="00D17701" w:rsidRDefault="009D224A" w:rsidP="0027134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D17701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Regional GMIT Charter</w:t>
            </w:r>
          </w:p>
          <w:p w14:paraId="4FE16717" w14:textId="77777777" w:rsidR="00D17701" w:rsidRPr="00D17701" w:rsidRDefault="00D17701" w:rsidP="00D17701">
            <w:pPr>
              <w:pStyle w:val="ListParagraph"/>
              <w:ind w:left="360"/>
              <w:rPr>
                <w:rFonts w:ascii="Century Gothic" w:hAnsi="Century Gothic" w:cs="Calibri"/>
                <w:sz w:val="22"/>
              </w:rPr>
            </w:pPr>
            <w:r w:rsidRPr="00D17701">
              <w:rPr>
                <w:rFonts w:ascii="Century Gothic" w:hAnsi="Century Gothic" w:cs="Calibri"/>
                <w:sz w:val="22"/>
              </w:rPr>
              <w:t xml:space="preserve">We need to develop. Maxine will send out state charter for reference. </w:t>
            </w:r>
            <w:r w:rsidR="00B63B05">
              <w:rPr>
                <w:rFonts w:ascii="Century Gothic" w:hAnsi="Century Gothic" w:cs="Calibri"/>
                <w:sz w:val="22"/>
              </w:rPr>
              <w:t xml:space="preserve">Please review this will be followed up in the next month’s meeting </w:t>
            </w:r>
          </w:p>
          <w:p w14:paraId="153CBCBE" w14:textId="77777777" w:rsidR="00731D5E" w:rsidRPr="00D17701" w:rsidRDefault="00731D5E" w:rsidP="0097390A">
            <w:pPr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D17701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KPFC</w:t>
            </w:r>
          </w:p>
          <w:p w14:paraId="56218144" w14:textId="77777777" w:rsidR="00E01B78" w:rsidRPr="00B63B05" w:rsidRDefault="00D17701" w:rsidP="0097390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Calibri"/>
                <w:sz w:val="22"/>
              </w:rPr>
            </w:pPr>
            <w:r w:rsidRPr="00B63B05">
              <w:rPr>
                <w:rFonts w:ascii="Century Gothic" w:hAnsi="Century Gothic" w:cs="Calibri"/>
                <w:sz w:val="22"/>
              </w:rPr>
              <w:t xml:space="preserve">Webinar tomorrow </w:t>
            </w:r>
          </w:p>
          <w:p w14:paraId="5E68E90A" w14:textId="77777777" w:rsidR="00D17701" w:rsidRDefault="00D17701" w:rsidP="0097390A">
            <w:pPr>
              <w:pStyle w:val="ListParagraph"/>
              <w:numPr>
                <w:ilvl w:val="0"/>
                <w:numId w:val="36"/>
              </w:numPr>
              <w:rPr>
                <w:rStyle w:val="Hyperlink"/>
                <w:rFonts w:ascii="Century Gothic" w:hAnsi="Century Gothic" w:cs="Calibri"/>
                <w:color w:val="auto"/>
                <w:sz w:val="22"/>
              </w:rPr>
            </w:pPr>
            <w:r w:rsidRPr="00B63B05">
              <w:rPr>
                <w:rFonts w:ascii="Century Gothic" w:hAnsi="Century Gothic" w:cs="Calibri"/>
                <w:sz w:val="22"/>
              </w:rPr>
              <w:t xml:space="preserve">KPFC will be providing </w:t>
            </w:r>
            <w:r w:rsidR="00B63B05" w:rsidRPr="00B63B05">
              <w:rPr>
                <w:rFonts w:ascii="Century Gothic" w:hAnsi="Century Gothic" w:cs="Calibri"/>
                <w:sz w:val="22"/>
              </w:rPr>
              <w:t>scholarships</w:t>
            </w:r>
            <w:r w:rsidRPr="00B63B05">
              <w:rPr>
                <w:rFonts w:ascii="Century Gothic" w:hAnsi="Century Gothic" w:cs="Calibri"/>
                <w:sz w:val="22"/>
              </w:rPr>
              <w:t xml:space="preserve"> for families to attend SOC Academy contact Carol</w:t>
            </w:r>
            <w:r w:rsidR="00F36B6A">
              <w:rPr>
                <w:rFonts w:ascii="Century Gothic" w:hAnsi="Century Gothic" w:cs="Calibri"/>
                <w:sz w:val="22"/>
              </w:rPr>
              <w:t>:</w:t>
            </w:r>
            <w:r w:rsidRPr="00B63B05">
              <w:rPr>
                <w:rFonts w:ascii="Century Gothic" w:hAnsi="Century Gothic" w:cs="Calibri"/>
                <w:sz w:val="22"/>
              </w:rPr>
              <w:t xml:space="preserve"> </w:t>
            </w:r>
            <w:r w:rsidRPr="00F36B6A">
              <w:rPr>
                <w:rFonts w:ascii="Century Gothic" w:hAnsi="Century Gothic" w:cs="Calibri"/>
                <w:sz w:val="22"/>
                <w:u w:val="single"/>
              </w:rPr>
              <w:t>c</w:t>
            </w:r>
            <w:hyperlink r:id="rId12" w:history="1">
              <w:r w:rsidR="00F36B6A" w:rsidRPr="00F36B6A">
                <w:rPr>
                  <w:rStyle w:val="Hyperlink"/>
                  <w:rFonts w:ascii="Century Gothic" w:hAnsi="Century Gothic" w:cs="Calibri"/>
                  <w:color w:val="auto"/>
                  <w:sz w:val="22"/>
                </w:rPr>
                <w:t>wecil@kypartnership.org</w:t>
              </w:r>
            </w:hyperlink>
          </w:p>
          <w:p w14:paraId="79C10E94" w14:textId="77777777" w:rsidR="00531F8F" w:rsidRPr="00F36B6A" w:rsidRDefault="00531F8F" w:rsidP="0097390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Calibri"/>
                <w:sz w:val="22"/>
                <w:u w:val="single"/>
              </w:rPr>
            </w:pPr>
            <w:r>
              <w:rPr>
                <w:rFonts w:ascii="Century Gothic" w:hAnsi="Century Gothic" w:cs="Calibri"/>
                <w:sz w:val="22"/>
                <w:u w:val="single"/>
              </w:rPr>
              <w:t>Youth Cafes and Smart Recovery occur every Thursday</w:t>
            </w:r>
          </w:p>
          <w:p w14:paraId="7E593DD2" w14:textId="77777777" w:rsidR="00D17701" w:rsidRDefault="00D17701" w:rsidP="0097390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Calibri"/>
                <w:sz w:val="22"/>
              </w:rPr>
            </w:pPr>
            <w:r w:rsidRPr="00B63B05">
              <w:rPr>
                <w:rFonts w:ascii="Century Gothic" w:hAnsi="Century Gothic" w:cs="Calibri"/>
                <w:sz w:val="22"/>
              </w:rPr>
              <w:t>Leadership Academy beginning soon</w:t>
            </w:r>
          </w:p>
          <w:p w14:paraId="40A59D72" w14:textId="77777777" w:rsidR="003058C7" w:rsidRDefault="003058C7" w:rsidP="0097390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Peer support centers are up and running and starting to get referrals</w:t>
            </w:r>
          </w:p>
          <w:p w14:paraId="2C95F781" w14:textId="77777777" w:rsidR="00DF18CF" w:rsidRPr="00B63B05" w:rsidRDefault="003F4759" w:rsidP="0097390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Participating in</w:t>
            </w:r>
            <w:r w:rsidR="00DF18CF">
              <w:rPr>
                <w:rFonts w:ascii="Century Gothic" w:hAnsi="Century Gothic" w:cs="Calibri"/>
                <w:sz w:val="22"/>
              </w:rPr>
              <w:t xml:space="preserve"> the Reclaiming Futures Program </w:t>
            </w:r>
          </w:p>
          <w:p w14:paraId="1044E895" w14:textId="77777777" w:rsidR="00B63B05" w:rsidRPr="00B63B05" w:rsidRDefault="00D2660E" w:rsidP="0097390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Two</w:t>
            </w:r>
            <w:r w:rsidR="00B63B05" w:rsidRPr="00B63B05">
              <w:rPr>
                <w:rFonts w:ascii="Century Gothic" w:hAnsi="Century Gothic" w:cs="Calibri"/>
                <w:sz w:val="22"/>
              </w:rPr>
              <w:t xml:space="preserve"> more peer support centers will be coming to the Lakes </w:t>
            </w:r>
            <w:r w:rsidR="00D84FEB">
              <w:rPr>
                <w:rFonts w:ascii="Century Gothic" w:hAnsi="Century Gothic" w:cs="Calibri"/>
                <w:sz w:val="22"/>
              </w:rPr>
              <w:t xml:space="preserve">and Salt River </w:t>
            </w:r>
            <w:r w:rsidR="00B63B05" w:rsidRPr="00B63B05">
              <w:rPr>
                <w:rFonts w:ascii="Century Gothic" w:hAnsi="Century Gothic" w:cs="Calibri"/>
                <w:sz w:val="22"/>
              </w:rPr>
              <w:t>region</w:t>
            </w:r>
            <w:r w:rsidR="00D84FEB">
              <w:rPr>
                <w:rFonts w:ascii="Century Gothic" w:hAnsi="Century Gothic" w:cs="Calibri"/>
                <w:sz w:val="22"/>
              </w:rPr>
              <w:t>s</w:t>
            </w:r>
            <w:r w:rsidR="00B63B05" w:rsidRPr="00B63B05">
              <w:rPr>
                <w:rFonts w:ascii="Century Gothic" w:hAnsi="Century Gothic" w:cs="Calibri"/>
                <w:sz w:val="22"/>
              </w:rPr>
              <w:t xml:space="preserve"> </w:t>
            </w:r>
          </w:p>
          <w:p w14:paraId="3E9B5201" w14:textId="77777777" w:rsidR="00271341" w:rsidRPr="00D17701" w:rsidRDefault="00946005" w:rsidP="00946005">
            <w:pPr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D17701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DCBS</w:t>
            </w:r>
          </w:p>
          <w:p w14:paraId="67A5BAD7" w14:textId="77777777" w:rsidR="00E01B78" w:rsidRPr="00B63B05" w:rsidRDefault="00B63B05" w:rsidP="00E01B78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Calibri"/>
                <w:sz w:val="22"/>
              </w:rPr>
            </w:pPr>
            <w:r w:rsidRPr="00B63B05">
              <w:rPr>
                <w:rFonts w:ascii="Century Gothic" w:hAnsi="Century Gothic" w:cs="Calibri"/>
                <w:sz w:val="22"/>
              </w:rPr>
              <w:t xml:space="preserve">Krista Bell is no longer the director and will be working on Family First </w:t>
            </w:r>
          </w:p>
          <w:p w14:paraId="5BFDB913" w14:textId="77777777" w:rsidR="00B63B05" w:rsidRPr="00B63B05" w:rsidRDefault="00D2660E" w:rsidP="00E01B78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Staff are working on b</w:t>
            </w:r>
            <w:r w:rsidR="00B63B05" w:rsidRPr="00B63B05">
              <w:rPr>
                <w:rFonts w:ascii="Century Gothic" w:hAnsi="Century Gothic" w:cs="Calibri"/>
                <w:sz w:val="22"/>
              </w:rPr>
              <w:t>uilding a 21</w:t>
            </w:r>
            <w:r w:rsidR="00B63B05" w:rsidRPr="00B63B05">
              <w:rPr>
                <w:rFonts w:ascii="Century Gothic" w:hAnsi="Century Gothic" w:cs="Calibri"/>
                <w:sz w:val="22"/>
                <w:vertAlign w:val="superscript"/>
              </w:rPr>
              <w:t>st</w:t>
            </w:r>
            <w:r w:rsidR="00B63B05" w:rsidRPr="00B63B05">
              <w:rPr>
                <w:rFonts w:ascii="Century Gothic" w:hAnsi="Century Gothic" w:cs="Calibri"/>
                <w:sz w:val="22"/>
              </w:rPr>
              <w:t xml:space="preserve"> Century Cabinet</w:t>
            </w:r>
            <w:r>
              <w:rPr>
                <w:rFonts w:ascii="Century Gothic" w:hAnsi="Century Gothic" w:cs="Calibri"/>
                <w:sz w:val="22"/>
              </w:rPr>
              <w:t xml:space="preserve"> and ensuring that they are </w:t>
            </w:r>
            <w:r w:rsidR="00B63B05" w:rsidRPr="00B63B05">
              <w:rPr>
                <w:rFonts w:ascii="Century Gothic" w:hAnsi="Century Gothic" w:cs="Calibri"/>
                <w:sz w:val="22"/>
              </w:rPr>
              <w:t xml:space="preserve">aligning with </w:t>
            </w:r>
            <w:r>
              <w:rPr>
                <w:rFonts w:ascii="Century Gothic" w:hAnsi="Century Gothic" w:cs="Calibri"/>
                <w:sz w:val="22"/>
              </w:rPr>
              <w:t xml:space="preserve">CHFS </w:t>
            </w:r>
            <w:r w:rsidR="00B63B05" w:rsidRPr="00B63B05">
              <w:rPr>
                <w:rFonts w:ascii="Century Gothic" w:hAnsi="Century Gothic" w:cs="Calibri"/>
                <w:sz w:val="22"/>
              </w:rPr>
              <w:t xml:space="preserve">pillars and SOC values </w:t>
            </w:r>
          </w:p>
          <w:p w14:paraId="2FB1E81E" w14:textId="77777777" w:rsidR="00731D5E" w:rsidRPr="00D17701" w:rsidRDefault="00731D5E" w:rsidP="0097390A">
            <w:pPr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D17701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CRCC</w:t>
            </w:r>
          </w:p>
          <w:p w14:paraId="5722950C" w14:textId="77777777" w:rsidR="001D2ED4" w:rsidRPr="00B63B05" w:rsidRDefault="00B63B05" w:rsidP="0097390A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Calibri"/>
                <w:sz w:val="22"/>
              </w:rPr>
            </w:pPr>
            <w:r w:rsidRPr="00B63B05">
              <w:rPr>
                <w:rFonts w:ascii="Century Gothic" w:hAnsi="Century Gothic" w:cs="Calibri"/>
                <w:sz w:val="22"/>
              </w:rPr>
              <w:t>Returning to office April 5</w:t>
            </w:r>
            <w:r w:rsidRPr="00B63B05">
              <w:rPr>
                <w:rFonts w:ascii="Century Gothic" w:hAnsi="Century Gothic" w:cs="Calibri"/>
                <w:sz w:val="22"/>
                <w:vertAlign w:val="superscript"/>
              </w:rPr>
              <w:t>th</w:t>
            </w:r>
            <w:r w:rsidRPr="00B63B05">
              <w:rPr>
                <w:rFonts w:ascii="Century Gothic" w:hAnsi="Century Gothic" w:cs="Calibri"/>
                <w:sz w:val="22"/>
              </w:rPr>
              <w:t xml:space="preserve"> </w:t>
            </w:r>
          </w:p>
          <w:p w14:paraId="64BCD881" w14:textId="77777777" w:rsidR="00731D5E" w:rsidRPr="00D17701" w:rsidRDefault="00731D5E" w:rsidP="0097390A">
            <w:pPr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D17701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ADANTA</w:t>
            </w:r>
          </w:p>
          <w:p w14:paraId="3BCAC353" w14:textId="77777777" w:rsidR="00B63B05" w:rsidRPr="00B63B05" w:rsidRDefault="00B63B05" w:rsidP="0097390A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Calibri"/>
                <w:sz w:val="22"/>
              </w:rPr>
            </w:pPr>
            <w:r w:rsidRPr="00B63B05">
              <w:rPr>
                <w:rFonts w:ascii="Century Gothic" w:hAnsi="Century Gothic" w:cs="Calibri"/>
                <w:sz w:val="22"/>
              </w:rPr>
              <w:t>Positions open for intensive in-home therapy</w:t>
            </w:r>
          </w:p>
          <w:p w14:paraId="6CB427A8" w14:textId="77777777" w:rsidR="001D2ED4" w:rsidRPr="00CE7F69" w:rsidRDefault="00B63B05" w:rsidP="0097390A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B63B05">
              <w:rPr>
                <w:rFonts w:ascii="Century Gothic" w:hAnsi="Century Gothic" w:cs="Calibri"/>
                <w:sz w:val="22"/>
              </w:rPr>
              <w:t xml:space="preserve">No high-fidelity staff working on getting the program up and 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running  </w:t>
            </w:r>
          </w:p>
          <w:p w14:paraId="5662566F" w14:textId="77777777" w:rsidR="00731D5E" w:rsidRPr="00B63B05" w:rsidRDefault="00B63B05" w:rsidP="00E01B78">
            <w:pPr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B63B05">
              <w:rPr>
                <w:rFonts w:ascii="Century Gothic" w:hAnsi="Century Gothic" w:cs="Calibri"/>
                <w:b/>
                <w:bCs/>
                <w:sz w:val="24"/>
                <w:szCs w:val="24"/>
              </w:rPr>
              <w:t xml:space="preserve">RIAC </w:t>
            </w:r>
          </w:p>
          <w:p w14:paraId="159ACAA6" w14:textId="25F9AFC4" w:rsidR="00B63B05" w:rsidRPr="00B63B05" w:rsidRDefault="00B63B05" w:rsidP="00B63B05">
            <w:pPr>
              <w:pStyle w:val="ListParagraph"/>
              <w:numPr>
                <w:ilvl w:val="0"/>
                <w:numId w:val="46"/>
              </w:numPr>
              <w:ind w:left="420"/>
              <w:rPr>
                <w:rFonts w:ascii="Century Gothic" w:hAnsi="Century Gothic" w:cs="Calibri"/>
                <w:sz w:val="24"/>
                <w:szCs w:val="24"/>
              </w:rPr>
            </w:pPr>
            <w:r w:rsidRPr="00B63B05">
              <w:rPr>
                <w:rFonts w:ascii="Century Gothic" w:hAnsi="Century Gothic" w:cs="Calibri"/>
                <w:sz w:val="22"/>
              </w:rPr>
              <w:t>Starting the</w:t>
            </w:r>
            <w:r w:rsidR="00F36B6A">
              <w:rPr>
                <w:rFonts w:ascii="Century Gothic" w:hAnsi="Century Gothic" w:cs="Calibri"/>
                <w:sz w:val="22"/>
              </w:rPr>
              <w:t xml:space="preserve"> ’</w:t>
            </w:r>
            <w:r w:rsidR="00B230B1">
              <w:rPr>
                <w:rFonts w:ascii="Century Gothic" w:hAnsi="Century Gothic" w:cs="Calibri"/>
                <w:sz w:val="22"/>
              </w:rPr>
              <w:t>D</w:t>
            </w:r>
            <w:r w:rsidR="008A5EE3">
              <w:rPr>
                <w:rFonts w:ascii="Century Gothic" w:hAnsi="Century Gothic" w:cs="Calibri"/>
                <w:sz w:val="22"/>
              </w:rPr>
              <w:t>i</w:t>
            </w:r>
            <w:r w:rsidRPr="00B63B05">
              <w:rPr>
                <w:rFonts w:ascii="Century Gothic" w:hAnsi="Century Gothic" w:cs="Calibri"/>
                <w:sz w:val="22"/>
              </w:rPr>
              <w:t xml:space="preserve">nner </w:t>
            </w:r>
            <w:r w:rsidR="00B230B1">
              <w:rPr>
                <w:rFonts w:ascii="Century Gothic" w:hAnsi="Century Gothic" w:cs="Calibri"/>
                <w:sz w:val="22"/>
              </w:rPr>
              <w:t>B</w:t>
            </w:r>
            <w:r w:rsidRPr="00B63B05">
              <w:rPr>
                <w:rFonts w:ascii="Century Gothic" w:hAnsi="Century Gothic" w:cs="Calibri"/>
                <w:sz w:val="22"/>
              </w:rPr>
              <w:t xml:space="preserve">ox </w:t>
            </w:r>
            <w:r w:rsidR="00B230B1">
              <w:rPr>
                <w:rFonts w:ascii="Century Gothic" w:hAnsi="Century Gothic" w:cs="Calibri"/>
                <w:sz w:val="22"/>
              </w:rPr>
              <w:t>P</w:t>
            </w:r>
            <w:r w:rsidRPr="00B63B05">
              <w:rPr>
                <w:rFonts w:ascii="Century Gothic" w:hAnsi="Century Gothic" w:cs="Calibri"/>
                <w:sz w:val="22"/>
              </w:rPr>
              <w:t>roject’ members want to ensure it</w:t>
            </w:r>
            <w:r w:rsidR="00B230B1">
              <w:rPr>
                <w:rFonts w:ascii="Century Gothic" w:hAnsi="Century Gothic" w:cs="Calibri"/>
                <w:sz w:val="22"/>
              </w:rPr>
              <w:t xml:space="preserve"> is</w:t>
            </w:r>
            <w:r w:rsidRPr="00B63B05">
              <w:rPr>
                <w:rFonts w:ascii="Century Gothic" w:hAnsi="Century Gothic" w:cs="Calibri"/>
                <w:sz w:val="22"/>
              </w:rPr>
              <w:t xml:space="preserve"> culturally sensitive and applicable for as many families as possible. </w:t>
            </w:r>
          </w:p>
        </w:tc>
      </w:tr>
      <w:tr w:rsidR="00731D5E" w:rsidRPr="00CE7F69" w14:paraId="57050F32" w14:textId="77777777" w:rsidTr="0097390A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39AB9CD" w14:textId="77777777" w:rsidR="00731D5E" w:rsidRPr="00CE7F69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b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1D69B1A" w14:textId="77777777" w:rsidR="00731D5E" w:rsidRPr="00CE7F69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09260A" w14:textId="77777777" w:rsidR="00731D5E" w:rsidRPr="00CE7F69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CE7F69">
              <w:rPr>
                <w:rFonts w:ascii="Century Gothic" w:hAnsi="Century Gothic" w:cs="Calibri"/>
                <w:b/>
                <w:sz w:val="24"/>
                <w:szCs w:val="24"/>
              </w:rPr>
              <w:t>Deadline</w:t>
            </w:r>
          </w:p>
        </w:tc>
      </w:tr>
      <w:tr w:rsidR="00731D5E" w:rsidRPr="00CE7F69" w14:paraId="4695ACF1" w14:textId="77777777" w:rsidTr="0097390A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24C887" w14:textId="77777777" w:rsidR="00731D5E" w:rsidRPr="00F36B6A" w:rsidRDefault="00F36B6A" w:rsidP="0097390A">
            <w:pPr>
              <w:pStyle w:val="BodyCopy"/>
              <w:rPr>
                <w:rFonts w:ascii="Century Gothic" w:hAnsi="Century Gothic" w:cs="Calibri"/>
                <w:sz w:val="22"/>
              </w:rPr>
            </w:pPr>
            <w:r w:rsidRPr="00F36B6A">
              <w:rPr>
                <w:rFonts w:ascii="Century Gothic" w:hAnsi="Century Gothic" w:cs="Calibri"/>
                <w:sz w:val="22"/>
              </w:rPr>
              <w:t>Review State GMIT Charter to prepare for regional charter draft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2DE6C5" w14:textId="77777777" w:rsidR="00731D5E" w:rsidRPr="00F36B6A" w:rsidRDefault="00F36B6A" w:rsidP="009B1BFE">
            <w:pPr>
              <w:pStyle w:val="BodyCopy"/>
              <w:jc w:val="center"/>
              <w:rPr>
                <w:rFonts w:ascii="Century Gothic" w:hAnsi="Century Gothic" w:cs="Calibri"/>
                <w:sz w:val="22"/>
              </w:rPr>
            </w:pPr>
            <w:r w:rsidRPr="00F36B6A">
              <w:rPr>
                <w:rFonts w:ascii="Century Gothic" w:hAnsi="Century Gothic" w:cs="Calibri"/>
                <w:sz w:val="22"/>
              </w:rPr>
              <w:t>All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FAD3A2" w14:textId="77777777" w:rsidR="00731D5E" w:rsidRPr="00F36B6A" w:rsidRDefault="00F36B6A" w:rsidP="0097390A">
            <w:pPr>
              <w:pStyle w:val="BodyCopy"/>
              <w:rPr>
                <w:rFonts w:ascii="Century Gothic" w:hAnsi="Century Gothic" w:cs="Calibri"/>
                <w:sz w:val="22"/>
              </w:rPr>
            </w:pPr>
            <w:r w:rsidRPr="00F36B6A">
              <w:rPr>
                <w:rFonts w:ascii="Century Gothic" w:hAnsi="Century Gothic" w:cs="Calibri"/>
                <w:sz w:val="22"/>
              </w:rPr>
              <w:t xml:space="preserve">April 8, 2021 </w:t>
            </w:r>
          </w:p>
        </w:tc>
      </w:tr>
      <w:tr w:rsidR="00731D5E" w:rsidRPr="00CE7F69" w14:paraId="2C48368C" w14:textId="77777777" w:rsidTr="0097390A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187124" w14:textId="77777777" w:rsidR="00731D5E" w:rsidRPr="00CE7F69" w:rsidRDefault="00731D5E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B958E0" w14:textId="77777777" w:rsidR="00731D5E" w:rsidRPr="00CE7F69" w:rsidRDefault="00731D5E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9391AC" w14:textId="77777777" w:rsidR="00731D5E" w:rsidRPr="00CE7F69" w:rsidRDefault="00731D5E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69616223" w14:textId="77777777" w:rsidR="005F7A9A" w:rsidRPr="00CE7F69" w:rsidRDefault="005F7A9A" w:rsidP="0059714D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4"/>
        <w:gridCol w:w="1810"/>
        <w:gridCol w:w="2541"/>
      </w:tblGrid>
      <w:tr w:rsidR="0059714D" w:rsidRPr="00CE7F69" w14:paraId="64C95894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7FECB47" w14:textId="77777777" w:rsidR="0059714D" w:rsidRPr="00CE7F69" w:rsidRDefault="0059714D" w:rsidP="007F6F21">
            <w:pPr>
              <w:pStyle w:val="MinutesandAgendaTitles"/>
              <w:numPr>
                <w:ilvl w:val="0"/>
                <w:numId w:val="2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</w:p>
        </w:tc>
      </w:tr>
      <w:tr w:rsidR="0059714D" w:rsidRPr="00CE7F69" w14:paraId="1D0F0B4A" w14:textId="77777777" w:rsidTr="007F08B0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58144A" w14:textId="77777777" w:rsidR="00C51513" w:rsidRPr="00CE7F69" w:rsidRDefault="00C51513" w:rsidP="00731D5E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9714D" w:rsidRPr="00CE7F69" w14:paraId="72238DAD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530D665" w14:textId="77777777" w:rsidR="0059714D" w:rsidRPr="00CE7F69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D9DC998" w14:textId="77777777" w:rsidR="0059714D" w:rsidRPr="00CE7F69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94B8B15" w14:textId="77777777" w:rsidR="0059714D" w:rsidRPr="00CE7F69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9714D" w:rsidRPr="00CE7F69" w14:paraId="12020877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FF1903" w14:textId="77777777" w:rsidR="0059714D" w:rsidRPr="00CE7F69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6F68F9" w14:textId="77777777" w:rsidR="0059714D" w:rsidRPr="00CE7F69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1AECFA" w14:textId="77777777" w:rsidR="0059714D" w:rsidRPr="00CE7F69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9714D" w:rsidRPr="00CE7F69" w14:paraId="758C66E0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0B884E" w14:textId="77777777" w:rsidR="0059714D" w:rsidRPr="00CE7F69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7918B1" w14:textId="77777777" w:rsidR="0059714D" w:rsidRPr="00CE7F69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CB4F79E" w14:textId="77777777" w:rsidR="0059714D" w:rsidRPr="00CE7F69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26539098" w14:textId="77777777" w:rsidR="006F5436" w:rsidRPr="00CE7F69" w:rsidRDefault="006F5436" w:rsidP="00EE290C">
      <w:pPr>
        <w:spacing w:after="200" w:line="276" w:lineRule="auto"/>
        <w:rPr>
          <w:rFonts w:ascii="Century Gothic" w:hAnsi="Century Gothic" w:cs="Calibri"/>
          <w:b/>
          <w:sz w:val="24"/>
          <w:szCs w:val="40"/>
        </w:rPr>
      </w:pPr>
    </w:p>
    <w:p w14:paraId="6EDEDC60" w14:textId="77777777" w:rsidR="00C8370B" w:rsidRPr="001D2ED4" w:rsidRDefault="00C40D64" w:rsidP="00EE290C">
      <w:pPr>
        <w:spacing w:after="200" w:line="276" w:lineRule="auto"/>
        <w:rPr>
          <w:rFonts w:ascii="Calibri" w:hAnsi="Calibri" w:cs="Calibri"/>
          <w:sz w:val="24"/>
          <w:szCs w:val="40"/>
        </w:rPr>
      </w:pPr>
      <w:r w:rsidRPr="00CE7F69">
        <w:rPr>
          <w:rFonts w:ascii="Century Gothic" w:hAnsi="Century Gothic" w:cs="Calibri"/>
          <w:b/>
          <w:sz w:val="24"/>
          <w:szCs w:val="40"/>
        </w:rPr>
        <w:t>NEXT MEETING</w:t>
      </w:r>
      <w:r w:rsidRPr="00CE7F69">
        <w:rPr>
          <w:rFonts w:ascii="Century Gothic" w:hAnsi="Century Gothic" w:cs="Calibri"/>
          <w:sz w:val="24"/>
          <w:szCs w:val="40"/>
        </w:rPr>
        <w:t xml:space="preserve">:  </w:t>
      </w:r>
      <w:r w:rsidR="00F25EE8" w:rsidRPr="00CE7F69">
        <w:rPr>
          <w:rFonts w:ascii="Century Gothic" w:hAnsi="Century Gothic" w:cs="Calibri"/>
          <w:sz w:val="24"/>
          <w:szCs w:val="40"/>
        </w:rPr>
        <w:t>April 8</w:t>
      </w:r>
      <w:r w:rsidR="001D2ED4" w:rsidRPr="00CE7F69">
        <w:rPr>
          <w:rFonts w:ascii="Century Gothic" w:hAnsi="Century Gothic" w:cs="Calibri"/>
          <w:sz w:val="24"/>
          <w:szCs w:val="40"/>
        </w:rPr>
        <w:t>, 2021 1pm</w:t>
      </w:r>
      <w:r w:rsidR="006F5436" w:rsidRPr="00CE7F69">
        <w:rPr>
          <w:rFonts w:ascii="Century Gothic" w:hAnsi="Century Gothic" w:cs="Calibri"/>
          <w:sz w:val="24"/>
          <w:szCs w:val="40"/>
        </w:rPr>
        <w:t xml:space="preserve"> E</w:t>
      </w:r>
      <w:r w:rsidR="006F5436">
        <w:rPr>
          <w:rFonts w:ascii="Calibri" w:hAnsi="Calibri" w:cs="Calibri"/>
          <w:sz w:val="24"/>
          <w:szCs w:val="40"/>
        </w:rPr>
        <w:t>ST</w:t>
      </w:r>
    </w:p>
    <w:sectPr w:rsidR="00C8370B" w:rsidRPr="001D2ED4" w:rsidSect="006542CC">
      <w:headerReference w:type="default" r:id="rId13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EB95C" w14:textId="77777777" w:rsidR="00FD25A5" w:rsidRDefault="00FD25A5">
      <w:r>
        <w:separator/>
      </w:r>
    </w:p>
  </w:endnote>
  <w:endnote w:type="continuationSeparator" w:id="0">
    <w:p w14:paraId="2A0670FB" w14:textId="77777777" w:rsidR="00FD25A5" w:rsidRDefault="00F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4A101" w14:textId="77777777" w:rsidR="00FD25A5" w:rsidRDefault="00FD25A5">
      <w:r>
        <w:separator/>
      </w:r>
    </w:p>
  </w:footnote>
  <w:footnote w:type="continuationSeparator" w:id="0">
    <w:p w14:paraId="3C50A847" w14:textId="77777777" w:rsidR="00FD25A5" w:rsidRDefault="00FD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AE6FA" w14:textId="77777777" w:rsidR="003046FE" w:rsidRDefault="00C51513" w:rsidP="006542CC">
    <w:pPr>
      <w:pStyle w:val="MeetingMinutesHeading"/>
      <w:spacing w:before="0" w:after="0"/>
      <w:ind w:left="-630" w:right="-63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7C95D19B" wp14:editId="1A972724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1685290" cy="1127760"/>
          <wp:effectExtent l="152400" t="152400" r="353060" b="3581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Regional </w:t>
    </w:r>
    <w:r w:rsidR="003046FE">
      <w:rPr>
        <w:rFonts w:ascii="Century Gothic" w:hAnsi="Century Gothic" w:cs="Arial"/>
        <w:b/>
        <w:color w:val="auto"/>
        <w:sz w:val="30"/>
      </w:rPr>
      <w:t xml:space="preserve">Grant 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Implementation Team(</w:t>
    </w:r>
    <w:r>
      <w:rPr>
        <w:rFonts w:ascii="Century Gothic" w:hAnsi="Century Gothic" w:cs="Arial"/>
        <w:b/>
        <w:color w:val="auto"/>
        <w:sz w:val="30"/>
      </w:rPr>
      <w:t>R-</w:t>
    </w:r>
    <w:r w:rsidR="003046FE">
      <w:rPr>
        <w:rFonts w:ascii="Century Gothic" w:hAnsi="Century Gothic" w:cs="Arial"/>
        <w:b/>
        <w:color w:val="auto"/>
        <w:sz w:val="30"/>
      </w:rPr>
      <w:t>GMIT)</w:t>
    </w:r>
  </w:p>
  <w:p w14:paraId="1F0BF225" w14:textId="77777777" w:rsidR="00343ED0" w:rsidRDefault="009D224A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March 11</w:t>
    </w:r>
    <w:r w:rsidR="00F07216">
      <w:rPr>
        <w:rFonts w:ascii="Century Gothic" w:hAnsi="Century Gothic" w:cs="Arial"/>
        <w:b/>
        <w:color w:val="auto"/>
        <w:sz w:val="30"/>
      </w:rPr>
      <w:t>, 2021</w:t>
    </w:r>
  </w:p>
  <w:p w14:paraId="28552972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88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5F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F14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F5EE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B16268"/>
    <w:multiLevelType w:val="hybridMultilevel"/>
    <w:tmpl w:val="DF7A02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54730"/>
    <w:multiLevelType w:val="hybridMultilevel"/>
    <w:tmpl w:val="307A3E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B37E4A"/>
    <w:multiLevelType w:val="hybridMultilevel"/>
    <w:tmpl w:val="E180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E6161C"/>
    <w:multiLevelType w:val="hybridMultilevel"/>
    <w:tmpl w:val="E0DC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1322C"/>
    <w:multiLevelType w:val="hybridMultilevel"/>
    <w:tmpl w:val="08B8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9729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AB3088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DE349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EEB4D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3645BDB"/>
    <w:multiLevelType w:val="hybridMultilevel"/>
    <w:tmpl w:val="5DFC0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BD16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702369F"/>
    <w:multiLevelType w:val="hybridMultilevel"/>
    <w:tmpl w:val="3EF6D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D43B7D"/>
    <w:multiLevelType w:val="hybridMultilevel"/>
    <w:tmpl w:val="C70E0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DA4357E"/>
    <w:multiLevelType w:val="hybridMultilevel"/>
    <w:tmpl w:val="DD08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E0DF9"/>
    <w:multiLevelType w:val="hybridMultilevel"/>
    <w:tmpl w:val="D48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430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2E07A05"/>
    <w:multiLevelType w:val="hybridMultilevel"/>
    <w:tmpl w:val="BDDE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20091"/>
    <w:multiLevelType w:val="hybridMultilevel"/>
    <w:tmpl w:val="6B96D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833569"/>
    <w:multiLevelType w:val="hybridMultilevel"/>
    <w:tmpl w:val="66DEB2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445709B9"/>
    <w:multiLevelType w:val="hybridMultilevel"/>
    <w:tmpl w:val="445015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462A6"/>
    <w:multiLevelType w:val="hybridMultilevel"/>
    <w:tmpl w:val="86D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50513"/>
    <w:multiLevelType w:val="hybridMultilevel"/>
    <w:tmpl w:val="90AC9948"/>
    <w:lvl w:ilvl="0" w:tplc="D81A07A0">
      <w:start w:val="1"/>
      <w:numFmt w:val="decimal"/>
      <w:lvlText w:val="(%1)"/>
      <w:lvlJc w:val="left"/>
      <w:pPr>
        <w:ind w:left="720" w:hanging="360"/>
      </w:pPr>
      <w:rPr>
        <w:rFonts w:ascii="Century Gothic" w:eastAsia="Times New Roman" w:hAnsi="Century Gothic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013E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DF62E83"/>
    <w:multiLevelType w:val="hybridMultilevel"/>
    <w:tmpl w:val="1922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5381C"/>
    <w:multiLevelType w:val="hybridMultilevel"/>
    <w:tmpl w:val="23028E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2E69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6762D4C"/>
    <w:multiLevelType w:val="hybridMultilevel"/>
    <w:tmpl w:val="DBFA8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3330AE"/>
    <w:multiLevelType w:val="hybridMultilevel"/>
    <w:tmpl w:val="E3FE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B79EC"/>
    <w:multiLevelType w:val="hybridMultilevel"/>
    <w:tmpl w:val="2C96E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B929DA"/>
    <w:multiLevelType w:val="hybridMultilevel"/>
    <w:tmpl w:val="8AD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31A42"/>
    <w:multiLevelType w:val="hybridMultilevel"/>
    <w:tmpl w:val="590EC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150834"/>
    <w:multiLevelType w:val="hybridMultilevel"/>
    <w:tmpl w:val="3468E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3A24E2"/>
    <w:multiLevelType w:val="hybridMultilevel"/>
    <w:tmpl w:val="500A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796B4E"/>
    <w:multiLevelType w:val="hybridMultilevel"/>
    <w:tmpl w:val="A81C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3B7F3B"/>
    <w:multiLevelType w:val="hybridMultilevel"/>
    <w:tmpl w:val="C308A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E8412C"/>
    <w:multiLevelType w:val="hybridMultilevel"/>
    <w:tmpl w:val="FEF0D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3D3A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8FD5AA5"/>
    <w:multiLevelType w:val="hybridMultilevel"/>
    <w:tmpl w:val="425A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FE7AFD"/>
    <w:multiLevelType w:val="hybridMultilevel"/>
    <w:tmpl w:val="2662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E4397E"/>
    <w:multiLevelType w:val="hybridMultilevel"/>
    <w:tmpl w:val="C2048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3742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3"/>
  </w:num>
  <w:num w:numId="8">
    <w:abstractNumId w:val="6"/>
  </w:num>
  <w:num w:numId="9">
    <w:abstractNumId w:val="43"/>
  </w:num>
  <w:num w:numId="10">
    <w:abstractNumId w:val="46"/>
  </w:num>
  <w:num w:numId="11">
    <w:abstractNumId w:val="17"/>
  </w:num>
  <w:num w:numId="12">
    <w:abstractNumId w:val="45"/>
  </w:num>
  <w:num w:numId="13">
    <w:abstractNumId w:val="42"/>
  </w:num>
  <w:num w:numId="14">
    <w:abstractNumId w:val="47"/>
  </w:num>
  <w:num w:numId="15">
    <w:abstractNumId w:val="34"/>
  </w:num>
  <w:num w:numId="16">
    <w:abstractNumId w:val="39"/>
  </w:num>
  <w:num w:numId="17">
    <w:abstractNumId w:val="37"/>
  </w:num>
  <w:num w:numId="18">
    <w:abstractNumId w:val="36"/>
  </w:num>
  <w:num w:numId="19">
    <w:abstractNumId w:val="19"/>
  </w:num>
  <w:num w:numId="20">
    <w:abstractNumId w:val="41"/>
  </w:num>
  <w:num w:numId="21">
    <w:abstractNumId w:val="20"/>
  </w:num>
  <w:num w:numId="22">
    <w:abstractNumId w:val="22"/>
  </w:num>
  <w:num w:numId="23">
    <w:abstractNumId w:val="25"/>
  </w:num>
  <w:num w:numId="24">
    <w:abstractNumId w:val="40"/>
  </w:num>
  <w:num w:numId="25">
    <w:abstractNumId w:val="28"/>
  </w:num>
  <w:num w:numId="26">
    <w:abstractNumId w:val="14"/>
  </w:num>
  <w:num w:numId="27">
    <w:abstractNumId w:val="9"/>
  </w:num>
  <w:num w:numId="28">
    <w:abstractNumId w:val="26"/>
  </w:num>
  <w:num w:numId="29">
    <w:abstractNumId w:val="18"/>
  </w:num>
  <w:num w:numId="30">
    <w:abstractNumId w:val="33"/>
  </w:num>
  <w:num w:numId="31">
    <w:abstractNumId w:val="11"/>
  </w:num>
  <w:num w:numId="32">
    <w:abstractNumId w:val="38"/>
  </w:num>
  <w:num w:numId="33">
    <w:abstractNumId w:val="13"/>
  </w:num>
  <w:num w:numId="34">
    <w:abstractNumId w:val="44"/>
  </w:num>
  <w:num w:numId="35">
    <w:abstractNumId w:val="48"/>
  </w:num>
  <w:num w:numId="36">
    <w:abstractNumId w:val="10"/>
  </w:num>
  <w:num w:numId="37">
    <w:abstractNumId w:val="21"/>
  </w:num>
  <w:num w:numId="38">
    <w:abstractNumId w:val="30"/>
  </w:num>
  <w:num w:numId="39">
    <w:abstractNumId w:val="15"/>
  </w:num>
  <w:num w:numId="40">
    <w:abstractNumId w:val="5"/>
  </w:num>
  <w:num w:numId="41">
    <w:abstractNumId w:val="16"/>
  </w:num>
  <w:num w:numId="42">
    <w:abstractNumId w:val="24"/>
  </w:num>
  <w:num w:numId="43">
    <w:abstractNumId w:val="12"/>
  </w:num>
  <w:num w:numId="44">
    <w:abstractNumId w:val="32"/>
  </w:num>
  <w:num w:numId="45">
    <w:abstractNumId w:val="7"/>
  </w:num>
  <w:num w:numId="46">
    <w:abstractNumId w:val="4"/>
  </w:num>
  <w:num w:numId="47">
    <w:abstractNumId w:val="35"/>
  </w:num>
  <w:num w:numId="48">
    <w:abstractNumId w:val="27"/>
  </w:num>
  <w:num w:numId="4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4C49"/>
    <w:rsid w:val="0000798F"/>
    <w:rsid w:val="00012BE5"/>
    <w:rsid w:val="00013B30"/>
    <w:rsid w:val="0001639C"/>
    <w:rsid w:val="00016926"/>
    <w:rsid w:val="00017981"/>
    <w:rsid w:val="00021426"/>
    <w:rsid w:val="0002154B"/>
    <w:rsid w:val="00022613"/>
    <w:rsid w:val="0003157C"/>
    <w:rsid w:val="0003431D"/>
    <w:rsid w:val="00043DDA"/>
    <w:rsid w:val="000570D6"/>
    <w:rsid w:val="000572B8"/>
    <w:rsid w:val="00062605"/>
    <w:rsid w:val="00062BCD"/>
    <w:rsid w:val="000649C0"/>
    <w:rsid w:val="00064F96"/>
    <w:rsid w:val="00067452"/>
    <w:rsid w:val="00084863"/>
    <w:rsid w:val="00091274"/>
    <w:rsid w:val="0009730D"/>
    <w:rsid w:val="000A1F78"/>
    <w:rsid w:val="000A31E7"/>
    <w:rsid w:val="000A4D72"/>
    <w:rsid w:val="000A5C9B"/>
    <w:rsid w:val="000A5DDC"/>
    <w:rsid w:val="000A61F6"/>
    <w:rsid w:val="000B277A"/>
    <w:rsid w:val="000B65BE"/>
    <w:rsid w:val="000C2FAD"/>
    <w:rsid w:val="000C4A30"/>
    <w:rsid w:val="000C762B"/>
    <w:rsid w:val="000D6494"/>
    <w:rsid w:val="000E29BE"/>
    <w:rsid w:val="0010761C"/>
    <w:rsid w:val="00111027"/>
    <w:rsid w:val="00111F19"/>
    <w:rsid w:val="00113CC1"/>
    <w:rsid w:val="001149CB"/>
    <w:rsid w:val="00114C65"/>
    <w:rsid w:val="0011696C"/>
    <w:rsid w:val="00117E79"/>
    <w:rsid w:val="00136384"/>
    <w:rsid w:val="00136A52"/>
    <w:rsid w:val="0013790C"/>
    <w:rsid w:val="0015072E"/>
    <w:rsid w:val="00152BE7"/>
    <w:rsid w:val="00154421"/>
    <w:rsid w:val="00154423"/>
    <w:rsid w:val="00156712"/>
    <w:rsid w:val="001602C5"/>
    <w:rsid w:val="00170B82"/>
    <w:rsid w:val="00172880"/>
    <w:rsid w:val="00177B70"/>
    <w:rsid w:val="00181E45"/>
    <w:rsid w:val="00183246"/>
    <w:rsid w:val="0018514B"/>
    <w:rsid w:val="001975BE"/>
    <w:rsid w:val="001A2CA8"/>
    <w:rsid w:val="001A69C1"/>
    <w:rsid w:val="001C0A0E"/>
    <w:rsid w:val="001C1D2A"/>
    <w:rsid w:val="001C4533"/>
    <w:rsid w:val="001C7E8C"/>
    <w:rsid w:val="001D0593"/>
    <w:rsid w:val="001D0DBA"/>
    <w:rsid w:val="001D0DE9"/>
    <w:rsid w:val="001D2DCF"/>
    <w:rsid w:val="001D2ED4"/>
    <w:rsid w:val="001D5014"/>
    <w:rsid w:val="001D78E2"/>
    <w:rsid w:val="001E24F3"/>
    <w:rsid w:val="001E502E"/>
    <w:rsid w:val="001F3831"/>
    <w:rsid w:val="001F404A"/>
    <w:rsid w:val="001F4A29"/>
    <w:rsid w:val="001F6B05"/>
    <w:rsid w:val="00200466"/>
    <w:rsid w:val="00200915"/>
    <w:rsid w:val="002028C0"/>
    <w:rsid w:val="00202AC4"/>
    <w:rsid w:val="00205C08"/>
    <w:rsid w:val="00205F7E"/>
    <w:rsid w:val="002104AD"/>
    <w:rsid w:val="002123DB"/>
    <w:rsid w:val="00212B3E"/>
    <w:rsid w:val="00215387"/>
    <w:rsid w:val="00217FA9"/>
    <w:rsid w:val="00223B80"/>
    <w:rsid w:val="0022578C"/>
    <w:rsid w:val="002260ED"/>
    <w:rsid w:val="00232CA5"/>
    <w:rsid w:val="00232F1E"/>
    <w:rsid w:val="002347BF"/>
    <w:rsid w:val="00234F18"/>
    <w:rsid w:val="00236622"/>
    <w:rsid w:val="00240029"/>
    <w:rsid w:val="00247251"/>
    <w:rsid w:val="00247B71"/>
    <w:rsid w:val="0025298F"/>
    <w:rsid w:val="0026588A"/>
    <w:rsid w:val="002676DB"/>
    <w:rsid w:val="00267F4B"/>
    <w:rsid w:val="00270B56"/>
    <w:rsid w:val="00271341"/>
    <w:rsid w:val="002714CE"/>
    <w:rsid w:val="00274214"/>
    <w:rsid w:val="00276315"/>
    <w:rsid w:val="00276FED"/>
    <w:rsid w:val="002770D6"/>
    <w:rsid w:val="0028026A"/>
    <w:rsid w:val="00284FD4"/>
    <w:rsid w:val="00297987"/>
    <w:rsid w:val="002A144D"/>
    <w:rsid w:val="002A3CFA"/>
    <w:rsid w:val="002A5930"/>
    <w:rsid w:val="002A7788"/>
    <w:rsid w:val="002B1C46"/>
    <w:rsid w:val="002B1EBB"/>
    <w:rsid w:val="002B6A4A"/>
    <w:rsid w:val="002B6B44"/>
    <w:rsid w:val="002C16E3"/>
    <w:rsid w:val="002C6D37"/>
    <w:rsid w:val="002D013D"/>
    <w:rsid w:val="002D0D92"/>
    <w:rsid w:val="002D17F1"/>
    <w:rsid w:val="002D5DC3"/>
    <w:rsid w:val="002D5E40"/>
    <w:rsid w:val="002D73C2"/>
    <w:rsid w:val="002D7DEF"/>
    <w:rsid w:val="002E1D65"/>
    <w:rsid w:val="002E3E9A"/>
    <w:rsid w:val="002F521C"/>
    <w:rsid w:val="002F7A61"/>
    <w:rsid w:val="00302626"/>
    <w:rsid w:val="003046FE"/>
    <w:rsid w:val="003058C7"/>
    <w:rsid w:val="00316167"/>
    <w:rsid w:val="00316460"/>
    <w:rsid w:val="00316779"/>
    <w:rsid w:val="003229B9"/>
    <w:rsid w:val="003262D2"/>
    <w:rsid w:val="003266E4"/>
    <w:rsid w:val="003319F3"/>
    <w:rsid w:val="0033298F"/>
    <w:rsid w:val="00343ED0"/>
    <w:rsid w:val="00346E4D"/>
    <w:rsid w:val="003523CB"/>
    <w:rsid w:val="00352C32"/>
    <w:rsid w:val="00352E47"/>
    <w:rsid w:val="00354FA8"/>
    <w:rsid w:val="0035765B"/>
    <w:rsid w:val="003577E2"/>
    <w:rsid w:val="00360350"/>
    <w:rsid w:val="00363CC6"/>
    <w:rsid w:val="00367836"/>
    <w:rsid w:val="003735E2"/>
    <w:rsid w:val="003757C9"/>
    <w:rsid w:val="00375F08"/>
    <w:rsid w:val="00375FB1"/>
    <w:rsid w:val="00377ACB"/>
    <w:rsid w:val="00377E18"/>
    <w:rsid w:val="003802DD"/>
    <w:rsid w:val="00383F85"/>
    <w:rsid w:val="00387D83"/>
    <w:rsid w:val="003920F4"/>
    <w:rsid w:val="0039340E"/>
    <w:rsid w:val="0039753C"/>
    <w:rsid w:val="00397B57"/>
    <w:rsid w:val="003A0444"/>
    <w:rsid w:val="003A1288"/>
    <w:rsid w:val="003A15EF"/>
    <w:rsid w:val="003A5E13"/>
    <w:rsid w:val="003B0AED"/>
    <w:rsid w:val="003B1E88"/>
    <w:rsid w:val="003B4AC7"/>
    <w:rsid w:val="003C034C"/>
    <w:rsid w:val="003C0614"/>
    <w:rsid w:val="003C65C2"/>
    <w:rsid w:val="003D2192"/>
    <w:rsid w:val="003D78FC"/>
    <w:rsid w:val="003D7C4F"/>
    <w:rsid w:val="003E761E"/>
    <w:rsid w:val="003F16D9"/>
    <w:rsid w:val="003F2C04"/>
    <w:rsid w:val="003F4759"/>
    <w:rsid w:val="003F6CED"/>
    <w:rsid w:val="00403332"/>
    <w:rsid w:val="00403D5D"/>
    <w:rsid w:val="00410D95"/>
    <w:rsid w:val="00411729"/>
    <w:rsid w:val="0041186D"/>
    <w:rsid w:val="0041571F"/>
    <w:rsid w:val="00415942"/>
    <w:rsid w:val="00420DE2"/>
    <w:rsid w:val="00421842"/>
    <w:rsid w:val="00423964"/>
    <w:rsid w:val="00431D37"/>
    <w:rsid w:val="00431FE1"/>
    <w:rsid w:val="00436CC5"/>
    <w:rsid w:val="00436E57"/>
    <w:rsid w:val="00441AED"/>
    <w:rsid w:val="004444CD"/>
    <w:rsid w:val="00447B87"/>
    <w:rsid w:val="0045135F"/>
    <w:rsid w:val="00453B5A"/>
    <w:rsid w:val="00454C41"/>
    <w:rsid w:val="004613E7"/>
    <w:rsid w:val="0046278C"/>
    <w:rsid w:val="00465A72"/>
    <w:rsid w:val="00471838"/>
    <w:rsid w:val="0047344C"/>
    <w:rsid w:val="0048280E"/>
    <w:rsid w:val="00490294"/>
    <w:rsid w:val="00490511"/>
    <w:rsid w:val="004A0BB1"/>
    <w:rsid w:val="004A39DC"/>
    <w:rsid w:val="004A3D6A"/>
    <w:rsid w:val="004B02E0"/>
    <w:rsid w:val="004B143D"/>
    <w:rsid w:val="004B1712"/>
    <w:rsid w:val="004C3901"/>
    <w:rsid w:val="004C781B"/>
    <w:rsid w:val="004D43F6"/>
    <w:rsid w:val="004D5C37"/>
    <w:rsid w:val="004E1589"/>
    <w:rsid w:val="004E1DB3"/>
    <w:rsid w:val="004F3FA3"/>
    <w:rsid w:val="005130D7"/>
    <w:rsid w:val="00517122"/>
    <w:rsid w:val="005205D2"/>
    <w:rsid w:val="005207DE"/>
    <w:rsid w:val="00523DB7"/>
    <w:rsid w:val="00524EA6"/>
    <w:rsid w:val="00531F8F"/>
    <w:rsid w:val="0053264C"/>
    <w:rsid w:val="005424BA"/>
    <w:rsid w:val="00543DCA"/>
    <w:rsid w:val="00545CB9"/>
    <w:rsid w:val="00550B3F"/>
    <w:rsid w:val="005604A4"/>
    <w:rsid w:val="005613E1"/>
    <w:rsid w:val="00561F49"/>
    <w:rsid w:val="00566D8F"/>
    <w:rsid w:val="00567B84"/>
    <w:rsid w:val="00573817"/>
    <w:rsid w:val="005752ED"/>
    <w:rsid w:val="0057600B"/>
    <w:rsid w:val="00580ED8"/>
    <w:rsid w:val="00582434"/>
    <w:rsid w:val="005857DF"/>
    <w:rsid w:val="0059079E"/>
    <w:rsid w:val="005911F2"/>
    <w:rsid w:val="0059714D"/>
    <w:rsid w:val="005A27A4"/>
    <w:rsid w:val="005A3C6C"/>
    <w:rsid w:val="005A54D8"/>
    <w:rsid w:val="005A6E03"/>
    <w:rsid w:val="005B2F9E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2DB5"/>
    <w:rsid w:val="005E3DFC"/>
    <w:rsid w:val="005E5762"/>
    <w:rsid w:val="005F0861"/>
    <w:rsid w:val="005F5633"/>
    <w:rsid w:val="005F7A9A"/>
    <w:rsid w:val="006007C9"/>
    <w:rsid w:val="00602A96"/>
    <w:rsid w:val="00603B97"/>
    <w:rsid w:val="0061262C"/>
    <w:rsid w:val="006174E6"/>
    <w:rsid w:val="00623C5A"/>
    <w:rsid w:val="00632BD4"/>
    <w:rsid w:val="00635D63"/>
    <w:rsid w:val="00640DBD"/>
    <w:rsid w:val="00642B87"/>
    <w:rsid w:val="0064354C"/>
    <w:rsid w:val="00650401"/>
    <w:rsid w:val="006542CC"/>
    <w:rsid w:val="006570C8"/>
    <w:rsid w:val="006634A0"/>
    <w:rsid w:val="006641E0"/>
    <w:rsid w:val="006670D8"/>
    <w:rsid w:val="00667E39"/>
    <w:rsid w:val="0067080D"/>
    <w:rsid w:val="00671062"/>
    <w:rsid w:val="00671411"/>
    <w:rsid w:val="006731AE"/>
    <w:rsid w:val="00674E08"/>
    <w:rsid w:val="0067560D"/>
    <w:rsid w:val="00680C83"/>
    <w:rsid w:val="00681015"/>
    <w:rsid w:val="00684778"/>
    <w:rsid w:val="0069228F"/>
    <w:rsid w:val="006A0D0B"/>
    <w:rsid w:val="006A0D67"/>
    <w:rsid w:val="006A1986"/>
    <w:rsid w:val="006A1E1E"/>
    <w:rsid w:val="006A40DD"/>
    <w:rsid w:val="006A459E"/>
    <w:rsid w:val="006B2EE3"/>
    <w:rsid w:val="006B3A4B"/>
    <w:rsid w:val="006B3AD9"/>
    <w:rsid w:val="006B6F55"/>
    <w:rsid w:val="006B7225"/>
    <w:rsid w:val="006C1D07"/>
    <w:rsid w:val="006C2046"/>
    <w:rsid w:val="006C3B69"/>
    <w:rsid w:val="006D1B22"/>
    <w:rsid w:val="006D6550"/>
    <w:rsid w:val="006E0E70"/>
    <w:rsid w:val="006E2B5B"/>
    <w:rsid w:val="006F0DA1"/>
    <w:rsid w:val="006F1A54"/>
    <w:rsid w:val="006F4150"/>
    <w:rsid w:val="006F5436"/>
    <w:rsid w:val="006F5F61"/>
    <w:rsid w:val="006F680F"/>
    <w:rsid w:val="006F6919"/>
    <w:rsid w:val="007009DB"/>
    <w:rsid w:val="00703FF5"/>
    <w:rsid w:val="00713372"/>
    <w:rsid w:val="007142A9"/>
    <w:rsid w:val="00715B1E"/>
    <w:rsid w:val="00717EE6"/>
    <w:rsid w:val="00722125"/>
    <w:rsid w:val="007264DE"/>
    <w:rsid w:val="0072660C"/>
    <w:rsid w:val="007267F7"/>
    <w:rsid w:val="00731496"/>
    <w:rsid w:val="00731AF8"/>
    <w:rsid w:val="00731D5E"/>
    <w:rsid w:val="00734524"/>
    <w:rsid w:val="00735952"/>
    <w:rsid w:val="00743A7E"/>
    <w:rsid w:val="00744B4F"/>
    <w:rsid w:val="007468FC"/>
    <w:rsid w:val="00753CB5"/>
    <w:rsid w:val="00756207"/>
    <w:rsid w:val="00756306"/>
    <w:rsid w:val="007738D3"/>
    <w:rsid w:val="00776A58"/>
    <w:rsid w:val="00777838"/>
    <w:rsid w:val="00777E86"/>
    <w:rsid w:val="00783797"/>
    <w:rsid w:val="00791975"/>
    <w:rsid w:val="00792FDB"/>
    <w:rsid w:val="00794460"/>
    <w:rsid w:val="007A08E9"/>
    <w:rsid w:val="007A45BC"/>
    <w:rsid w:val="007A55CA"/>
    <w:rsid w:val="007B0558"/>
    <w:rsid w:val="007B2E2C"/>
    <w:rsid w:val="007B488C"/>
    <w:rsid w:val="007B55AC"/>
    <w:rsid w:val="007C11DD"/>
    <w:rsid w:val="007C4F3D"/>
    <w:rsid w:val="007C6334"/>
    <w:rsid w:val="007D1C34"/>
    <w:rsid w:val="007D1DC5"/>
    <w:rsid w:val="007D5213"/>
    <w:rsid w:val="007D5B21"/>
    <w:rsid w:val="007E31C2"/>
    <w:rsid w:val="007E5A70"/>
    <w:rsid w:val="007F08B0"/>
    <w:rsid w:val="007F20F5"/>
    <w:rsid w:val="008001E1"/>
    <w:rsid w:val="0080056C"/>
    <w:rsid w:val="0080148B"/>
    <w:rsid w:val="00805E80"/>
    <w:rsid w:val="008116CC"/>
    <w:rsid w:val="008136F7"/>
    <w:rsid w:val="008146C5"/>
    <w:rsid w:val="008149F6"/>
    <w:rsid w:val="00816B21"/>
    <w:rsid w:val="008211C5"/>
    <w:rsid w:val="00826D0F"/>
    <w:rsid w:val="00827237"/>
    <w:rsid w:val="008300E7"/>
    <w:rsid w:val="00834361"/>
    <w:rsid w:val="008378F6"/>
    <w:rsid w:val="008406F1"/>
    <w:rsid w:val="0084149F"/>
    <w:rsid w:val="008455EC"/>
    <w:rsid w:val="0085001F"/>
    <w:rsid w:val="00853C96"/>
    <w:rsid w:val="0086343D"/>
    <w:rsid w:val="00865268"/>
    <w:rsid w:val="00867644"/>
    <w:rsid w:val="00867AED"/>
    <w:rsid w:val="00872610"/>
    <w:rsid w:val="0087642A"/>
    <w:rsid w:val="00882E34"/>
    <w:rsid w:val="008856B0"/>
    <w:rsid w:val="0088748A"/>
    <w:rsid w:val="00894CEC"/>
    <w:rsid w:val="00895D78"/>
    <w:rsid w:val="008A27F4"/>
    <w:rsid w:val="008A302B"/>
    <w:rsid w:val="008A5EE3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E1AF3"/>
    <w:rsid w:val="008E42AE"/>
    <w:rsid w:val="008E7FE2"/>
    <w:rsid w:val="008F0C4F"/>
    <w:rsid w:val="00900459"/>
    <w:rsid w:val="00901D7A"/>
    <w:rsid w:val="00902EFE"/>
    <w:rsid w:val="009075EC"/>
    <w:rsid w:val="00907E31"/>
    <w:rsid w:val="00910743"/>
    <w:rsid w:val="00910F7E"/>
    <w:rsid w:val="0091169A"/>
    <w:rsid w:val="00913A62"/>
    <w:rsid w:val="009152B2"/>
    <w:rsid w:val="00915AF4"/>
    <w:rsid w:val="009266BE"/>
    <w:rsid w:val="00926E75"/>
    <w:rsid w:val="00926FA8"/>
    <w:rsid w:val="009344A1"/>
    <w:rsid w:val="00935D12"/>
    <w:rsid w:val="00942C60"/>
    <w:rsid w:val="00946005"/>
    <w:rsid w:val="00963BC0"/>
    <w:rsid w:val="00964317"/>
    <w:rsid w:val="0097298F"/>
    <w:rsid w:val="00974973"/>
    <w:rsid w:val="009770EA"/>
    <w:rsid w:val="00980D46"/>
    <w:rsid w:val="0098327A"/>
    <w:rsid w:val="00987B43"/>
    <w:rsid w:val="00990AA0"/>
    <w:rsid w:val="00991D1B"/>
    <w:rsid w:val="00992B5E"/>
    <w:rsid w:val="009952A1"/>
    <w:rsid w:val="0099670B"/>
    <w:rsid w:val="009A00D8"/>
    <w:rsid w:val="009A39E7"/>
    <w:rsid w:val="009A41B6"/>
    <w:rsid w:val="009A7D71"/>
    <w:rsid w:val="009B1BFE"/>
    <w:rsid w:val="009B6EE6"/>
    <w:rsid w:val="009C3248"/>
    <w:rsid w:val="009D224A"/>
    <w:rsid w:val="009D3815"/>
    <w:rsid w:val="009D5F9E"/>
    <w:rsid w:val="009D6751"/>
    <w:rsid w:val="009E0645"/>
    <w:rsid w:val="009E0FC7"/>
    <w:rsid w:val="009E4D5C"/>
    <w:rsid w:val="00A167D2"/>
    <w:rsid w:val="00A1688E"/>
    <w:rsid w:val="00A21925"/>
    <w:rsid w:val="00A24F19"/>
    <w:rsid w:val="00A26456"/>
    <w:rsid w:val="00A27128"/>
    <w:rsid w:val="00A30041"/>
    <w:rsid w:val="00A31F17"/>
    <w:rsid w:val="00A31F1C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55272"/>
    <w:rsid w:val="00A6147B"/>
    <w:rsid w:val="00A62ABE"/>
    <w:rsid w:val="00A63105"/>
    <w:rsid w:val="00A65A23"/>
    <w:rsid w:val="00A744D6"/>
    <w:rsid w:val="00A74B3C"/>
    <w:rsid w:val="00A763DF"/>
    <w:rsid w:val="00A80732"/>
    <w:rsid w:val="00A837D6"/>
    <w:rsid w:val="00A84892"/>
    <w:rsid w:val="00A8526C"/>
    <w:rsid w:val="00A853FD"/>
    <w:rsid w:val="00A87CD3"/>
    <w:rsid w:val="00A91339"/>
    <w:rsid w:val="00A92A3A"/>
    <w:rsid w:val="00AA4E61"/>
    <w:rsid w:val="00AA61E4"/>
    <w:rsid w:val="00AB0FFD"/>
    <w:rsid w:val="00AB1CBF"/>
    <w:rsid w:val="00AB6BAA"/>
    <w:rsid w:val="00AC16C9"/>
    <w:rsid w:val="00AC49C8"/>
    <w:rsid w:val="00AC56F6"/>
    <w:rsid w:val="00AC6706"/>
    <w:rsid w:val="00AC6EAF"/>
    <w:rsid w:val="00AC7840"/>
    <w:rsid w:val="00AC7DD8"/>
    <w:rsid w:val="00AD3244"/>
    <w:rsid w:val="00AD553F"/>
    <w:rsid w:val="00AD6BE7"/>
    <w:rsid w:val="00AE050B"/>
    <w:rsid w:val="00AE1A3E"/>
    <w:rsid w:val="00AE3557"/>
    <w:rsid w:val="00AE56EC"/>
    <w:rsid w:val="00AE730B"/>
    <w:rsid w:val="00AF069D"/>
    <w:rsid w:val="00AF6BD8"/>
    <w:rsid w:val="00B10E39"/>
    <w:rsid w:val="00B10FDB"/>
    <w:rsid w:val="00B15AF2"/>
    <w:rsid w:val="00B16795"/>
    <w:rsid w:val="00B20007"/>
    <w:rsid w:val="00B20EFC"/>
    <w:rsid w:val="00B230B1"/>
    <w:rsid w:val="00B24552"/>
    <w:rsid w:val="00B27696"/>
    <w:rsid w:val="00B27D29"/>
    <w:rsid w:val="00B301B8"/>
    <w:rsid w:val="00B303F3"/>
    <w:rsid w:val="00B3377E"/>
    <w:rsid w:val="00B43231"/>
    <w:rsid w:val="00B44995"/>
    <w:rsid w:val="00B4503C"/>
    <w:rsid w:val="00B46FB9"/>
    <w:rsid w:val="00B47D6F"/>
    <w:rsid w:val="00B60E41"/>
    <w:rsid w:val="00B63B05"/>
    <w:rsid w:val="00B70438"/>
    <w:rsid w:val="00B70951"/>
    <w:rsid w:val="00B70DF7"/>
    <w:rsid w:val="00B739BE"/>
    <w:rsid w:val="00B75817"/>
    <w:rsid w:val="00B75CBA"/>
    <w:rsid w:val="00B7770D"/>
    <w:rsid w:val="00B849E5"/>
    <w:rsid w:val="00BA06DC"/>
    <w:rsid w:val="00BA13BA"/>
    <w:rsid w:val="00BA1FDF"/>
    <w:rsid w:val="00BA4BC7"/>
    <w:rsid w:val="00BB0937"/>
    <w:rsid w:val="00BC0389"/>
    <w:rsid w:val="00BC1985"/>
    <w:rsid w:val="00BC53D7"/>
    <w:rsid w:val="00BD121D"/>
    <w:rsid w:val="00BD2778"/>
    <w:rsid w:val="00BD2901"/>
    <w:rsid w:val="00BD4063"/>
    <w:rsid w:val="00BE200D"/>
    <w:rsid w:val="00C06883"/>
    <w:rsid w:val="00C11BE8"/>
    <w:rsid w:val="00C13DB4"/>
    <w:rsid w:val="00C1698F"/>
    <w:rsid w:val="00C17210"/>
    <w:rsid w:val="00C222EA"/>
    <w:rsid w:val="00C2280F"/>
    <w:rsid w:val="00C23CF0"/>
    <w:rsid w:val="00C251F8"/>
    <w:rsid w:val="00C3008E"/>
    <w:rsid w:val="00C31E76"/>
    <w:rsid w:val="00C341B4"/>
    <w:rsid w:val="00C35749"/>
    <w:rsid w:val="00C40567"/>
    <w:rsid w:val="00C4068C"/>
    <w:rsid w:val="00C40D64"/>
    <w:rsid w:val="00C40F25"/>
    <w:rsid w:val="00C416C2"/>
    <w:rsid w:val="00C41BD6"/>
    <w:rsid w:val="00C41DB8"/>
    <w:rsid w:val="00C457EA"/>
    <w:rsid w:val="00C46528"/>
    <w:rsid w:val="00C51513"/>
    <w:rsid w:val="00C52316"/>
    <w:rsid w:val="00C56D25"/>
    <w:rsid w:val="00C6042C"/>
    <w:rsid w:val="00C64A6E"/>
    <w:rsid w:val="00C6572C"/>
    <w:rsid w:val="00C65905"/>
    <w:rsid w:val="00C65FF4"/>
    <w:rsid w:val="00C67391"/>
    <w:rsid w:val="00C7019C"/>
    <w:rsid w:val="00C71577"/>
    <w:rsid w:val="00C75239"/>
    <w:rsid w:val="00C8050B"/>
    <w:rsid w:val="00C8370B"/>
    <w:rsid w:val="00C85093"/>
    <w:rsid w:val="00C864FF"/>
    <w:rsid w:val="00C871D6"/>
    <w:rsid w:val="00C87CFE"/>
    <w:rsid w:val="00C9264B"/>
    <w:rsid w:val="00CB0551"/>
    <w:rsid w:val="00CB0768"/>
    <w:rsid w:val="00CB4042"/>
    <w:rsid w:val="00CB565D"/>
    <w:rsid w:val="00CC0E2A"/>
    <w:rsid w:val="00CC4DEE"/>
    <w:rsid w:val="00CC6FA5"/>
    <w:rsid w:val="00CD0E95"/>
    <w:rsid w:val="00CD3BD6"/>
    <w:rsid w:val="00CD7410"/>
    <w:rsid w:val="00CE1EB7"/>
    <w:rsid w:val="00CE7F69"/>
    <w:rsid w:val="00CF2383"/>
    <w:rsid w:val="00CF7F7A"/>
    <w:rsid w:val="00D01EAA"/>
    <w:rsid w:val="00D02F7B"/>
    <w:rsid w:val="00D03AED"/>
    <w:rsid w:val="00D119BE"/>
    <w:rsid w:val="00D124EC"/>
    <w:rsid w:val="00D15395"/>
    <w:rsid w:val="00D17701"/>
    <w:rsid w:val="00D20A9F"/>
    <w:rsid w:val="00D21247"/>
    <w:rsid w:val="00D2172E"/>
    <w:rsid w:val="00D21758"/>
    <w:rsid w:val="00D23988"/>
    <w:rsid w:val="00D2660E"/>
    <w:rsid w:val="00D30FA5"/>
    <w:rsid w:val="00D31AC0"/>
    <w:rsid w:val="00D335B7"/>
    <w:rsid w:val="00D352D1"/>
    <w:rsid w:val="00D35DD5"/>
    <w:rsid w:val="00D402F4"/>
    <w:rsid w:val="00D43BE1"/>
    <w:rsid w:val="00D4520F"/>
    <w:rsid w:val="00D47AAE"/>
    <w:rsid w:val="00D505F7"/>
    <w:rsid w:val="00D50F3C"/>
    <w:rsid w:val="00D553D2"/>
    <w:rsid w:val="00D55A71"/>
    <w:rsid w:val="00D5742A"/>
    <w:rsid w:val="00D6251D"/>
    <w:rsid w:val="00D67000"/>
    <w:rsid w:val="00D72039"/>
    <w:rsid w:val="00D7224C"/>
    <w:rsid w:val="00D74C1F"/>
    <w:rsid w:val="00D77357"/>
    <w:rsid w:val="00D77FB0"/>
    <w:rsid w:val="00D8094A"/>
    <w:rsid w:val="00D8203B"/>
    <w:rsid w:val="00D84399"/>
    <w:rsid w:val="00D84FEB"/>
    <w:rsid w:val="00DA0D29"/>
    <w:rsid w:val="00DA439C"/>
    <w:rsid w:val="00DA52BF"/>
    <w:rsid w:val="00DA551D"/>
    <w:rsid w:val="00DB13D5"/>
    <w:rsid w:val="00DB4CE2"/>
    <w:rsid w:val="00DB6869"/>
    <w:rsid w:val="00DC093F"/>
    <w:rsid w:val="00DC227A"/>
    <w:rsid w:val="00DC61B9"/>
    <w:rsid w:val="00DD1F0B"/>
    <w:rsid w:val="00DD3C7C"/>
    <w:rsid w:val="00DD789C"/>
    <w:rsid w:val="00DE12A6"/>
    <w:rsid w:val="00DE63A9"/>
    <w:rsid w:val="00DE6B38"/>
    <w:rsid w:val="00DF18CF"/>
    <w:rsid w:val="00DF384D"/>
    <w:rsid w:val="00DF669F"/>
    <w:rsid w:val="00DF6AAA"/>
    <w:rsid w:val="00E01B78"/>
    <w:rsid w:val="00E01D9F"/>
    <w:rsid w:val="00E04004"/>
    <w:rsid w:val="00E05976"/>
    <w:rsid w:val="00E11CCE"/>
    <w:rsid w:val="00E12463"/>
    <w:rsid w:val="00E144AD"/>
    <w:rsid w:val="00E15783"/>
    <w:rsid w:val="00E16112"/>
    <w:rsid w:val="00E17DD1"/>
    <w:rsid w:val="00E2153A"/>
    <w:rsid w:val="00E26E5D"/>
    <w:rsid w:val="00E33793"/>
    <w:rsid w:val="00E4668F"/>
    <w:rsid w:val="00E471A9"/>
    <w:rsid w:val="00E47C24"/>
    <w:rsid w:val="00E54676"/>
    <w:rsid w:val="00E5563F"/>
    <w:rsid w:val="00E60F25"/>
    <w:rsid w:val="00E62850"/>
    <w:rsid w:val="00E63078"/>
    <w:rsid w:val="00E6472C"/>
    <w:rsid w:val="00E64A83"/>
    <w:rsid w:val="00E65C32"/>
    <w:rsid w:val="00E66FC2"/>
    <w:rsid w:val="00E723DB"/>
    <w:rsid w:val="00E742F0"/>
    <w:rsid w:val="00E74388"/>
    <w:rsid w:val="00E74E19"/>
    <w:rsid w:val="00E768DF"/>
    <w:rsid w:val="00E76A9E"/>
    <w:rsid w:val="00E8176E"/>
    <w:rsid w:val="00E85BE2"/>
    <w:rsid w:val="00E922AF"/>
    <w:rsid w:val="00E92789"/>
    <w:rsid w:val="00E93EB7"/>
    <w:rsid w:val="00E94AEF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5F4B"/>
    <w:rsid w:val="00ED619B"/>
    <w:rsid w:val="00ED69D5"/>
    <w:rsid w:val="00EE2439"/>
    <w:rsid w:val="00EE26A6"/>
    <w:rsid w:val="00EE290C"/>
    <w:rsid w:val="00EE4564"/>
    <w:rsid w:val="00EE6761"/>
    <w:rsid w:val="00EF0839"/>
    <w:rsid w:val="00EF27F9"/>
    <w:rsid w:val="00EF4D2E"/>
    <w:rsid w:val="00EF5153"/>
    <w:rsid w:val="00EF6945"/>
    <w:rsid w:val="00F0136E"/>
    <w:rsid w:val="00F07216"/>
    <w:rsid w:val="00F074B9"/>
    <w:rsid w:val="00F07537"/>
    <w:rsid w:val="00F07CA5"/>
    <w:rsid w:val="00F104CE"/>
    <w:rsid w:val="00F14FDF"/>
    <w:rsid w:val="00F17EC6"/>
    <w:rsid w:val="00F21A24"/>
    <w:rsid w:val="00F228F5"/>
    <w:rsid w:val="00F25EE8"/>
    <w:rsid w:val="00F27606"/>
    <w:rsid w:val="00F27914"/>
    <w:rsid w:val="00F301DE"/>
    <w:rsid w:val="00F33754"/>
    <w:rsid w:val="00F35342"/>
    <w:rsid w:val="00F36B6A"/>
    <w:rsid w:val="00F44ECD"/>
    <w:rsid w:val="00F45734"/>
    <w:rsid w:val="00F50464"/>
    <w:rsid w:val="00F506B8"/>
    <w:rsid w:val="00F5169A"/>
    <w:rsid w:val="00F54D17"/>
    <w:rsid w:val="00F554C9"/>
    <w:rsid w:val="00F55592"/>
    <w:rsid w:val="00F5692A"/>
    <w:rsid w:val="00F5745F"/>
    <w:rsid w:val="00F61C27"/>
    <w:rsid w:val="00F65D43"/>
    <w:rsid w:val="00F7286D"/>
    <w:rsid w:val="00F868E6"/>
    <w:rsid w:val="00F8757E"/>
    <w:rsid w:val="00F87CAB"/>
    <w:rsid w:val="00F92852"/>
    <w:rsid w:val="00F9452A"/>
    <w:rsid w:val="00F95CD2"/>
    <w:rsid w:val="00F971D4"/>
    <w:rsid w:val="00FA49A4"/>
    <w:rsid w:val="00FB2CF1"/>
    <w:rsid w:val="00FB56C9"/>
    <w:rsid w:val="00FB5E61"/>
    <w:rsid w:val="00FB69B6"/>
    <w:rsid w:val="00FB71E7"/>
    <w:rsid w:val="00FB725D"/>
    <w:rsid w:val="00FC1DC1"/>
    <w:rsid w:val="00FD0027"/>
    <w:rsid w:val="00FD10D6"/>
    <w:rsid w:val="00FD25A5"/>
    <w:rsid w:val="00FD69BD"/>
    <w:rsid w:val="00FE1A5A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601287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8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900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7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0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6DC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6DC"/>
    <w:rPr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6731AE"/>
    <w:pPr>
      <w:spacing w:after="0" w:line="240" w:lineRule="auto"/>
    </w:pPr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ecil@kypartnership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institute.umaryland.edu/2021traininginstitutes/schedul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rldefense.proofpoint.com/v2/url?u=https-3A__www.surveymonkey.com_r_ZD2WMMR&amp;d=DwMFaQ&amp;c=jvUANN7rYqzaQJvTqI-69lgi41yDEZ3CXTgIEaHlx7c&amp;r=M2m8_V3MRKZWbdOmYViu9QiHUcZKT0hA1V1xNgMNWIc&amp;m=koWDV7F22CEHZW5pNuCDBhxa4ne7B4Zb2TbaW0HDEuw&amp;s=vU2HAXRiiyTMhfiAgbAk9RMd76k-LGgcQF7VjnnwfZQ&amp;e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0D911-6A3F-44C5-A46A-B1119054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25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3</cp:revision>
  <cp:lastPrinted>2018-11-09T20:17:00Z</cp:lastPrinted>
  <dcterms:created xsi:type="dcterms:W3CDTF">2021-03-18T14:56:00Z</dcterms:created>
  <dcterms:modified xsi:type="dcterms:W3CDTF">2021-03-30T15:25:00Z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