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F5A1" w14:textId="479FE722" w:rsidR="00426AFE" w:rsidRDefault="00426AFE"/>
    <w:p w14:paraId="474A156C" w14:textId="77777777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61DC1C2E" wp14:editId="5432042D">
            <wp:extent cx="3199130" cy="18478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B218" w14:textId="77777777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>KPFC The Lakes Region Peer Support Center</w:t>
      </w:r>
    </w:p>
    <w:p w14:paraId="1AD0FEBD" w14:textId="77777777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 w:rsidRPr="00F82029">
        <w:rPr>
          <w:color w:val="70AD47" w:themeColor="accent6"/>
          <w:sz w:val="24"/>
          <w:szCs w:val="24"/>
        </w:rPr>
        <w:t>Kayla Harmon</w:t>
      </w:r>
      <w:r>
        <w:rPr>
          <w:color w:val="70AD47" w:themeColor="accent6"/>
          <w:sz w:val="24"/>
          <w:szCs w:val="24"/>
        </w:rPr>
        <w:t>- Family Peer Support Specialist</w:t>
      </w:r>
    </w:p>
    <w:p w14:paraId="5EC95F18" w14:textId="77777777" w:rsidR="00476646" w:rsidRDefault="000069EF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476646" w:rsidRPr="005E2B6F">
          <w:rPr>
            <w:rStyle w:val="Hyperlink"/>
            <w:sz w:val="24"/>
            <w:szCs w:val="24"/>
          </w:rPr>
          <w:t>kayla@kypartnership.org</w:t>
        </w:r>
      </w:hyperlink>
    </w:p>
    <w:p w14:paraId="6E51FA0D" w14:textId="77777777" w:rsidR="00476646" w:rsidRDefault="000069EF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7" w:history="1">
        <w:r w:rsidR="00476646" w:rsidRPr="005E2B6F">
          <w:rPr>
            <w:rStyle w:val="Hyperlink"/>
            <w:sz w:val="24"/>
            <w:szCs w:val="24"/>
          </w:rPr>
          <w:t>referrals@kypartnership.org</w:t>
        </w:r>
      </w:hyperlink>
    </w:p>
    <w:p w14:paraId="59F2B8DC" w14:textId="77777777" w:rsidR="00476646" w:rsidRPr="00145FEF" w:rsidRDefault="00476646" w:rsidP="00476646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4FAABEBD" w14:textId="77777777" w:rsidR="00476646" w:rsidRDefault="00476646" w:rsidP="00476646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64644B4C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76A99F5D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64539D2E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76C1EB36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08698057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526D37B0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42FE299D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2B8F3B3C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30E0466A" w14:textId="77777777" w:rsidR="00476646" w:rsidRDefault="00476646" w:rsidP="00476646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26FA0D47" w14:textId="77777777" w:rsidR="00476646" w:rsidRPr="00F82029" w:rsidRDefault="00476646" w:rsidP="00476646">
      <w:p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Counties we serve:  Ballard, Caldwell, Calloway, Carlisle, Christian, Crittenden, Fulton, Graves, Hickman, Hopkins, Livingston, Lyon, Marshall, McCracken, Muhlenberg, Todd, and Trigg.</w:t>
      </w:r>
      <w:r w:rsidRPr="00F82029">
        <w:rPr>
          <w:color w:val="70AD47" w:themeColor="accent6"/>
          <w:sz w:val="28"/>
          <w:szCs w:val="28"/>
        </w:rPr>
        <w:t xml:space="preserve"> </w:t>
      </w:r>
    </w:p>
    <w:p w14:paraId="06C89C63" w14:textId="0B40B1BC" w:rsidR="00F82029" w:rsidRPr="000069EF" w:rsidRDefault="00F82029" w:rsidP="000069EF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sectPr w:rsidR="00F82029" w:rsidRPr="0000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0069EF"/>
    <w:rsid w:val="00145FEF"/>
    <w:rsid w:val="00426AFE"/>
    <w:rsid w:val="00476646"/>
    <w:rsid w:val="004C489A"/>
    <w:rsid w:val="005123DA"/>
    <w:rsid w:val="005D12C9"/>
    <w:rsid w:val="00C041CD"/>
    <w:rsid w:val="00CB7EE4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rals@kypart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la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2021-11-18T13:58:00Z</dcterms:created>
  <dcterms:modified xsi:type="dcterms:W3CDTF">2021-11-18T13:58:00Z</dcterms:modified>
</cp:coreProperties>
</file>