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214647" w:rsidRDefault="00383AC2" w:rsidP="006C5EF2">
            <w:pPr>
              <w:pStyle w:val="MinutesandAgendaTitles"/>
              <w:rPr>
                <w:rFonts w:ascii="Century Gothic" w:hAnsi="Century Gothic"/>
                <w:b w:val="0"/>
                <w:bCs/>
                <w:sz w:val="28"/>
                <w:szCs w:val="24"/>
              </w:rPr>
            </w:pPr>
            <w:bookmarkStart w:id="0" w:name="_Hlk91585684"/>
            <w:r w:rsidRPr="00214647">
              <w:rPr>
                <w:rFonts w:ascii="Century Gothic" w:hAnsi="Century Gothic"/>
                <w:b w:val="0"/>
                <w:bCs/>
                <w:color w:val="auto"/>
                <w:sz w:val="28"/>
                <w:szCs w:val="24"/>
              </w:rPr>
              <w:t xml:space="preserve">Attendees </w:t>
            </w:r>
          </w:p>
        </w:tc>
      </w:tr>
      <w:tr w:rsidR="00383AC2" w:rsidRPr="00A968D3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685" w:type="dxa"/>
              <w:tblLook w:val="04A0" w:firstRow="1" w:lastRow="0" w:firstColumn="1" w:lastColumn="0" w:noHBand="0" w:noVBand="1"/>
            </w:tblPr>
            <w:tblGrid>
              <w:gridCol w:w="3256"/>
              <w:gridCol w:w="3279"/>
              <w:gridCol w:w="3150"/>
            </w:tblGrid>
            <w:tr w:rsidR="00D37C93" w:rsidRPr="00A968D3" w14:paraId="07A45EF7" w14:textId="77777777" w:rsidTr="00A968D3">
              <w:tc>
                <w:tcPr>
                  <w:tcW w:w="3256" w:type="dxa"/>
                  <w:vAlign w:val="center"/>
                </w:tcPr>
                <w:p w14:paraId="472AD281" w14:textId="4D31B1F2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Tammi Taylor,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Lakes Implementation Specialist</w:t>
                  </w:r>
                </w:p>
              </w:tc>
              <w:tc>
                <w:tcPr>
                  <w:tcW w:w="3279" w:type="dxa"/>
                  <w:vAlign w:val="center"/>
                </w:tcPr>
                <w:p w14:paraId="50DA6E96" w14:textId="066757E3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Janet Doyel, DCBS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SRCA</w:t>
                  </w:r>
                </w:p>
              </w:tc>
              <w:tc>
                <w:tcPr>
                  <w:tcW w:w="3150" w:type="dxa"/>
                  <w:vAlign w:val="center"/>
                </w:tcPr>
                <w:p w14:paraId="66D15485" w14:textId="10DEFF02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D37C93" w:rsidRPr="00A968D3" w14:paraId="50CDBCF9" w14:textId="77777777" w:rsidTr="00A968D3">
              <w:tc>
                <w:tcPr>
                  <w:tcW w:w="3256" w:type="dxa"/>
                  <w:vAlign w:val="center"/>
                </w:tcPr>
                <w:p w14:paraId="47DBEBBE" w14:textId="21D76776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Dee </w:t>
                  </w:r>
                  <w:proofErr w:type="spellStart"/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Dee</w:t>
                  </w:r>
                  <w:proofErr w:type="spellEnd"/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Ward,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Project Direct, SOC FIVE</w:t>
                  </w:r>
                </w:p>
              </w:tc>
              <w:tc>
                <w:tcPr>
                  <w:tcW w:w="3279" w:type="dxa"/>
                  <w:vAlign w:val="center"/>
                </w:tcPr>
                <w:p w14:paraId="5AEFB2D6" w14:textId="2B1D5B6E" w:rsidR="00D37C93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Lauren Patterson, DCBS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SRCA</w:t>
                  </w:r>
                </w:p>
              </w:tc>
              <w:tc>
                <w:tcPr>
                  <w:tcW w:w="3150" w:type="dxa"/>
                  <w:vAlign w:val="center"/>
                </w:tcPr>
                <w:p w14:paraId="38AC9B47" w14:textId="1BF49A43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Ware, UK HDI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SOC FIVE Eval. Team</w:t>
                  </w:r>
                </w:p>
              </w:tc>
            </w:tr>
            <w:tr w:rsidR="00D37C93" w:rsidRPr="00A968D3" w14:paraId="119DB8D7" w14:textId="77777777" w:rsidTr="00A968D3">
              <w:tc>
                <w:tcPr>
                  <w:tcW w:w="3256" w:type="dxa"/>
                  <w:vAlign w:val="center"/>
                </w:tcPr>
                <w:p w14:paraId="7FD76F8D" w14:textId="7D84AA6F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Bradshaw,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Two Rivers Implementation Specialist</w:t>
                  </w:r>
                </w:p>
              </w:tc>
              <w:tc>
                <w:tcPr>
                  <w:tcW w:w="3279" w:type="dxa"/>
                  <w:vAlign w:val="center"/>
                </w:tcPr>
                <w:p w14:paraId="06DF5EED" w14:textId="11518766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Jennifer Polo, DCBS</w:t>
                  </w:r>
                  <w:r w:rsidR="0014677C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CPS Specialist</w:t>
                  </w:r>
                </w:p>
              </w:tc>
              <w:tc>
                <w:tcPr>
                  <w:tcW w:w="3150" w:type="dxa"/>
                  <w:vAlign w:val="center"/>
                </w:tcPr>
                <w:p w14:paraId="42495063" w14:textId="3222FD03" w:rsidR="00D37C93" w:rsidRPr="00A968D3" w:rsidRDefault="001B3FAD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Ashley Turley, 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UK </w:t>
                  </w: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TAP</w:t>
                  </w:r>
                </w:p>
              </w:tc>
            </w:tr>
            <w:tr w:rsidR="00D37C93" w:rsidRPr="00A968D3" w14:paraId="429B8A90" w14:textId="77777777" w:rsidTr="00A968D3">
              <w:tc>
                <w:tcPr>
                  <w:tcW w:w="3256" w:type="dxa"/>
                  <w:vAlign w:val="center"/>
                </w:tcPr>
                <w:p w14:paraId="6AC8BF88" w14:textId="3A7302E2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Kelly Dorman,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SRT Implementation Specialist </w:t>
                  </w:r>
                </w:p>
              </w:tc>
              <w:tc>
                <w:tcPr>
                  <w:tcW w:w="3279" w:type="dxa"/>
                  <w:vAlign w:val="center"/>
                </w:tcPr>
                <w:p w14:paraId="3268C3C9" w14:textId="5E81A2FA" w:rsidR="00D37C93" w:rsidRPr="00BF6577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BF6577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Susan Rudd, DCBS</w:t>
                  </w:r>
                  <w:r w:rsidR="006E76DF" w:rsidRPr="00BF6577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CPS Specialist</w:t>
                  </w:r>
                </w:p>
              </w:tc>
              <w:tc>
                <w:tcPr>
                  <w:tcW w:w="3150" w:type="dxa"/>
                  <w:vAlign w:val="center"/>
                </w:tcPr>
                <w:p w14:paraId="782BC7C3" w14:textId="42650BA9" w:rsidR="00D37C93" w:rsidRPr="00A968D3" w:rsidRDefault="0014677C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Sonya Thompson</w:t>
                  </w:r>
                  <w:r w:rsidR="00D37C9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, 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UK </w:t>
                  </w:r>
                  <w:r w:rsidR="00D37C9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TAP</w:t>
                  </w:r>
                </w:p>
              </w:tc>
            </w:tr>
            <w:tr w:rsidR="00D37C93" w:rsidRPr="00A968D3" w14:paraId="698D5A2F" w14:textId="77777777" w:rsidTr="00A968D3">
              <w:tc>
                <w:tcPr>
                  <w:tcW w:w="3256" w:type="dxa"/>
                  <w:vAlign w:val="center"/>
                </w:tcPr>
                <w:p w14:paraId="641F8091" w14:textId="27EC3BEB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Maxine Reid,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Cumberland Implementation Specialist </w:t>
                  </w:r>
                </w:p>
              </w:tc>
              <w:tc>
                <w:tcPr>
                  <w:tcW w:w="3279" w:type="dxa"/>
                  <w:vAlign w:val="center"/>
                </w:tcPr>
                <w:p w14:paraId="279414BE" w14:textId="4591A3D9" w:rsidR="00D37C93" w:rsidRPr="00A968D3" w:rsidRDefault="001B3FAD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Sarah Andrus, DCBS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SRAA</w:t>
                  </w:r>
                </w:p>
              </w:tc>
              <w:tc>
                <w:tcPr>
                  <w:tcW w:w="3150" w:type="dxa"/>
                  <w:vAlign w:val="center"/>
                </w:tcPr>
                <w:p w14:paraId="76EC7D3C" w14:textId="7A3F6FF5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Amy Cox, 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UK </w:t>
                  </w: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TAP</w:t>
                  </w:r>
                </w:p>
              </w:tc>
            </w:tr>
            <w:tr w:rsidR="00D37C93" w:rsidRPr="00A968D3" w14:paraId="23CC4958" w14:textId="77777777" w:rsidTr="00A968D3">
              <w:tc>
                <w:tcPr>
                  <w:tcW w:w="3256" w:type="dxa"/>
                  <w:vAlign w:val="center"/>
                </w:tcPr>
                <w:p w14:paraId="6EC9B2C9" w14:textId="5E7D0D7A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Joy Varney, DBHDID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Family Engagement Coordinator</w:t>
                  </w:r>
                </w:p>
              </w:tc>
              <w:tc>
                <w:tcPr>
                  <w:tcW w:w="3279" w:type="dxa"/>
                  <w:vAlign w:val="center"/>
                </w:tcPr>
                <w:p w14:paraId="4ADCB092" w14:textId="2FEA4D4B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Lizzie Minton, DCBS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Screening &amp; Assessment</w:t>
                  </w:r>
                </w:p>
              </w:tc>
              <w:tc>
                <w:tcPr>
                  <w:tcW w:w="3150" w:type="dxa"/>
                  <w:vAlign w:val="center"/>
                </w:tcPr>
                <w:p w14:paraId="0F6EAC15" w14:textId="252FA6F1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D37C93" w:rsidRPr="00A968D3" w14:paraId="389F91CF" w14:textId="77777777" w:rsidTr="00A968D3">
              <w:tc>
                <w:tcPr>
                  <w:tcW w:w="3256" w:type="dxa"/>
                  <w:vAlign w:val="center"/>
                </w:tcPr>
                <w:p w14:paraId="6F2672C8" w14:textId="5F9FE1A3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10E5D3D" w14:textId="662A9D91" w:rsidR="00D37C93" w:rsidRPr="00A968D3" w:rsidRDefault="00C4326E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Kim Gray,</w:t>
                  </w:r>
                  <w:r w:rsidRPr="00A968D3">
                    <w:rPr>
                      <w:rFonts w:asciiTheme="minorHAnsi" w:eastAsiaTheme="minorHAnsi" w:hAnsiTheme="minorHAnsi" w:cstheme="minorBidi"/>
                      <w:bCs/>
                      <w:color w:val="000000"/>
                      <w:spacing w:val="8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DCBS OOHC Specialist</w:t>
                  </w:r>
                </w:p>
              </w:tc>
              <w:tc>
                <w:tcPr>
                  <w:tcW w:w="3150" w:type="dxa"/>
                  <w:vAlign w:val="center"/>
                </w:tcPr>
                <w:p w14:paraId="0F1BCD4C" w14:textId="5FE7BB74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c>
            </w:tr>
            <w:tr w:rsidR="00D37C93" w:rsidRPr="00A968D3" w14:paraId="568AB40B" w14:textId="77777777" w:rsidTr="00A968D3">
              <w:tc>
                <w:tcPr>
                  <w:tcW w:w="3256" w:type="dxa"/>
                  <w:vAlign w:val="center"/>
                </w:tcPr>
                <w:p w14:paraId="5FF59FE4" w14:textId="6692796E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Serena Eldridge, Pennyroyal Center</w:t>
                  </w:r>
                </w:p>
              </w:tc>
              <w:tc>
                <w:tcPr>
                  <w:tcW w:w="3279" w:type="dxa"/>
                  <w:vAlign w:val="center"/>
                </w:tcPr>
                <w:p w14:paraId="6D03C86A" w14:textId="00691917" w:rsidR="00D37C93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Sarah Trover, 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Four Rivers TAY</w:t>
                  </w:r>
                </w:p>
              </w:tc>
              <w:tc>
                <w:tcPr>
                  <w:tcW w:w="3150" w:type="dxa"/>
                  <w:vAlign w:val="center"/>
                </w:tcPr>
                <w:p w14:paraId="452C7B80" w14:textId="288417AA" w:rsidR="00D37C93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Christine Bustamante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 FPP &amp; CCC</w:t>
                  </w:r>
                </w:p>
              </w:tc>
            </w:tr>
            <w:tr w:rsidR="00D37C93" w:rsidRPr="00A968D3" w14:paraId="5BB812C9" w14:textId="77777777" w:rsidTr="00A968D3">
              <w:tc>
                <w:tcPr>
                  <w:tcW w:w="3256" w:type="dxa"/>
                  <w:vAlign w:val="center"/>
                </w:tcPr>
                <w:p w14:paraId="2F9846C1" w14:textId="086E7A5F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Rachel Howard, Pennyroyal Center</w:t>
                  </w:r>
                </w:p>
              </w:tc>
              <w:tc>
                <w:tcPr>
                  <w:tcW w:w="3279" w:type="dxa"/>
                  <w:vAlign w:val="center"/>
                </w:tcPr>
                <w:p w14:paraId="2A1703A2" w14:textId="77777777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Wendy Lay, </w:t>
                  </w:r>
                </w:p>
                <w:p w14:paraId="7FDF2137" w14:textId="4E4EAD3E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Four Rivers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CSD</w:t>
                  </w:r>
                </w:p>
              </w:tc>
              <w:tc>
                <w:tcPr>
                  <w:tcW w:w="3150" w:type="dxa"/>
                  <w:vAlign w:val="center"/>
                </w:tcPr>
                <w:p w14:paraId="2E0A49A5" w14:textId="31AD6791" w:rsidR="00D37C93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Kayla Harmon, KPFC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Peer Support Specialist</w:t>
                  </w:r>
                </w:p>
              </w:tc>
            </w:tr>
            <w:tr w:rsidR="00D37C93" w:rsidRPr="00A968D3" w14:paraId="40B36552" w14:textId="77777777" w:rsidTr="00A968D3">
              <w:tc>
                <w:tcPr>
                  <w:tcW w:w="3256" w:type="dxa"/>
                  <w:vAlign w:val="center"/>
                </w:tcPr>
                <w:p w14:paraId="0E93004C" w14:textId="2F8A514B" w:rsidR="00D37C93" w:rsidRPr="00A968D3" w:rsidRDefault="001B3FAD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Chris Sparks, Pennyroyal</w:t>
                  </w:r>
                  <w:r w:rsidR="00506570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Center</w:t>
                  </w:r>
                </w:p>
              </w:tc>
              <w:tc>
                <w:tcPr>
                  <w:tcW w:w="3279" w:type="dxa"/>
                  <w:vAlign w:val="center"/>
                </w:tcPr>
                <w:p w14:paraId="2ABAA2FA" w14:textId="77777777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Ashlee Brockwell, </w:t>
                  </w:r>
                </w:p>
                <w:p w14:paraId="387F19B5" w14:textId="65891DBF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Four Rivers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ECC</w:t>
                  </w:r>
                </w:p>
              </w:tc>
              <w:tc>
                <w:tcPr>
                  <w:tcW w:w="3150" w:type="dxa"/>
                  <w:vAlign w:val="center"/>
                </w:tcPr>
                <w:p w14:paraId="7F0A1422" w14:textId="50E933CE" w:rsidR="00D37C93" w:rsidRPr="00A968D3" w:rsidRDefault="001B3FAD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Barb Greene, KPFC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Director </w:t>
                  </w:r>
                </w:p>
              </w:tc>
            </w:tr>
            <w:tr w:rsidR="00D37C93" w:rsidRPr="00A968D3" w14:paraId="53E30AB3" w14:textId="77777777" w:rsidTr="00A968D3">
              <w:tc>
                <w:tcPr>
                  <w:tcW w:w="3256" w:type="dxa"/>
                  <w:vAlign w:val="center"/>
                </w:tcPr>
                <w:p w14:paraId="25723BB0" w14:textId="26E71E0A" w:rsidR="00D37C93" w:rsidRPr="00A968D3" w:rsidRDefault="00CE7E61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Tameika Johnson, Pennyroyal Center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RPC</w:t>
                  </w:r>
                </w:p>
              </w:tc>
              <w:tc>
                <w:tcPr>
                  <w:tcW w:w="3279" w:type="dxa"/>
                  <w:vAlign w:val="center"/>
                </w:tcPr>
                <w:p w14:paraId="0B98D59B" w14:textId="77777777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Shelley King, </w:t>
                  </w:r>
                </w:p>
                <w:p w14:paraId="2A689E1A" w14:textId="062333DB" w:rsidR="00D37C93" w:rsidRPr="00A968D3" w:rsidRDefault="00D37C93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Four Rivers 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LRC</w:t>
                  </w:r>
                </w:p>
              </w:tc>
              <w:tc>
                <w:tcPr>
                  <w:tcW w:w="3150" w:type="dxa"/>
                  <w:vAlign w:val="center"/>
                </w:tcPr>
                <w:p w14:paraId="0A860E66" w14:textId="4B496E31" w:rsidR="00D37C93" w:rsidRPr="00A968D3" w:rsidRDefault="00CE7E61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  <w:highlight w:val="yellow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Dyzz Cooper, KPFC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Youth Leadership Coordinator</w:t>
                  </w:r>
                </w:p>
              </w:tc>
            </w:tr>
            <w:tr w:rsidR="00D37C93" w:rsidRPr="00A968D3" w14:paraId="65D14A07" w14:textId="77777777" w:rsidTr="00A968D3">
              <w:tc>
                <w:tcPr>
                  <w:tcW w:w="3256" w:type="dxa"/>
                  <w:vAlign w:val="center"/>
                </w:tcPr>
                <w:p w14:paraId="66197CE1" w14:textId="3451FD86" w:rsidR="00D37C93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Michael Daniel, Pennyroyal Center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Children’s Coordinator</w:t>
                  </w:r>
                </w:p>
              </w:tc>
              <w:tc>
                <w:tcPr>
                  <w:tcW w:w="3279" w:type="dxa"/>
                  <w:vAlign w:val="center"/>
                </w:tcPr>
                <w:p w14:paraId="7AD8C2AA" w14:textId="345EBF5F" w:rsidR="00D37C93" w:rsidRPr="00A968D3" w:rsidRDefault="0014677C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Leah </w:t>
                  </w:r>
                  <w:proofErr w:type="spellStart"/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Fondaw</w:t>
                  </w:r>
                  <w:proofErr w:type="spellEnd"/>
                  <w:r w:rsidR="00CE7E61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,</w:t>
                  </w:r>
                  <w:r w:rsidR="00C4326E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 Four Rivers Div. Director</w:t>
                  </w:r>
                </w:p>
              </w:tc>
              <w:tc>
                <w:tcPr>
                  <w:tcW w:w="3150" w:type="dxa"/>
                  <w:vAlign w:val="center"/>
                </w:tcPr>
                <w:p w14:paraId="68B0E86B" w14:textId="78B9B366" w:rsidR="00D37C93" w:rsidRPr="00A968D3" w:rsidRDefault="0014677C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William Owen, FRYSC</w:t>
                  </w:r>
                  <w:r w:rsidR="00A968D3"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 Regional Program Manager</w:t>
                  </w:r>
                </w:p>
              </w:tc>
            </w:tr>
            <w:tr w:rsidR="0014677C" w:rsidRPr="00A968D3" w14:paraId="7122C727" w14:textId="77777777" w:rsidTr="00A968D3">
              <w:tc>
                <w:tcPr>
                  <w:tcW w:w="3256" w:type="dxa"/>
                  <w:vAlign w:val="center"/>
                </w:tcPr>
                <w:p w14:paraId="095FD5FD" w14:textId="53D13361" w:rsidR="0014677C" w:rsidRPr="00A968D3" w:rsidRDefault="00506570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Melanie Rose, DCBS CQI Specialist Lakes Region</w:t>
                  </w:r>
                </w:p>
              </w:tc>
              <w:tc>
                <w:tcPr>
                  <w:tcW w:w="3279" w:type="dxa"/>
                  <w:vAlign w:val="center"/>
                </w:tcPr>
                <w:p w14:paraId="3CA102CF" w14:textId="49509C68" w:rsidR="0014677C" w:rsidRPr="00A968D3" w:rsidRDefault="0014677C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Amy Ramage, Independent Living Coordinator </w:t>
                  </w:r>
                </w:p>
              </w:tc>
              <w:tc>
                <w:tcPr>
                  <w:tcW w:w="3150" w:type="dxa"/>
                  <w:vAlign w:val="center"/>
                </w:tcPr>
                <w:p w14:paraId="07F58603" w14:textId="3C548E1D" w:rsidR="0014677C" w:rsidRPr="00A968D3" w:rsidRDefault="00CE7E61" w:rsidP="00D37C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Jessica Burge</w:t>
                  </w:r>
                  <w:r w:rsid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 xml:space="preserve">- </w:t>
                  </w:r>
                  <w:r w:rsidRPr="00A968D3">
                    <w:rPr>
                      <w:rFonts w:ascii="Century Gothic" w:hAnsi="Century Gothic"/>
                      <w:bCs/>
                      <w:sz w:val="20"/>
                      <w:szCs w:val="20"/>
                    </w:rPr>
                    <w:t>Parent Representative</w:t>
                  </w:r>
                </w:p>
              </w:tc>
            </w:tr>
          </w:tbl>
          <w:p w14:paraId="5CA98AB0" w14:textId="77777777" w:rsidR="00383AC2" w:rsidRPr="00A968D3" w:rsidRDefault="00383AC2" w:rsidP="006C5EF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bookmarkEnd w:id="0"/>
    </w:tbl>
    <w:p w14:paraId="376AF813" w14:textId="40D07191" w:rsidR="00856EEE" w:rsidRPr="00A968D3" w:rsidRDefault="00856EEE" w:rsidP="00CB5E9F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1FC8332A" w:rsidR="00383AC2" w:rsidRPr="007F59FA" w:rsidRDefault="00CE7E61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KPFC Peer Support Centers- Barb Greene</w:t>
            </w:r>
          </w:p>
        </w:tc>
      </w:tr>
      <w:tr w:rsidR="00383AC2" w:rsidRPr="007F59FA" w14:paraId="1CA765D2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714A3A" w14:textId="77777777" w:rsidR="00261E8A" w:rsidRDefault="00CE7E6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Statewide family organization </w:t>
            </w:r>
          </w:p>
          <w:p w14:paraId="57D3ABDC" w14:textId="54EC052F" w:rsidR="00CE7E61" w:rsidRDefault="00150CBB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hyperlink r:id="rId8" w:history="1">
              <w:r w:rsidR="00CE7E61" w:rsidRPr="00BD34BD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www.kypartnership.org</w:t>
              </w:r>
            </w:hyperlink>
          </w:p>
          <w:p w14:paraId="10047837" w14:textId="77777777" w:rsidR="00CE7E61" w:rsidRDefault="00CE7E6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KPFC has established 6 Peer Support Centers </w:t>
            </w:r>
          </w:p>
          <w:p w14:paraId="72D90C01" w14:textId="08DF521D" w:rsidR="00CE7E61" w:rsidRDefault="00BF6577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Peer </w:t>
            </w:r>
            <w:proofErr w:type="gramStart"/>
            <w:r>
              <w:rPr>
                <w:rFonts w:ascii="Century Gothic" w:hAnsi="Century Gothic" w:cs="Arial"/>
                <w:sz w:val="24"/>
                <w:szCs w:val="40"/>
              </w:rPr>
              <w:t>support</w:t>
            </w:r>
            <w:proofErr w:type="gramEnd"/>
            <w:r>
              <w:rPr>
                <w:rFonts w:ascii="Century Gothic" w:hAnsi="Century Gothic" w:cs="Arial"/>
                <w:sz w:val="24"/>
                <w:szCs w:val="40"/>
              </w:rPr>
              <w:t xml:space="preserve"> offer </w:t>
            </w:r>
            <w:r w:rsidR="00CE7E61">
              <w:rPr>
                <w:rFonts w:ascii="Century Gothic" w:hAnsi="Century Gothic" w:cs="Arial"/>
                <w:sz w:val="24"/>
                <w:szCs w:val="40"/>
              </w:rPr>
              <w:t xml:space="preserve">lived experience </w:t>
            </w:r>
          </w:p>
          <w:p w14:paraId="2621A8F2" w14:textId="77777777" w:rsidR="00CE7E61" w:rsidRDefault="00CE7E6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Working with System of Care clients to receive services </w:t>
            </w:r>
          </w:p>
          <w:p w14:paraId="322763DF" w14:textId="77777777" w:rsidR="00CE7E61" w:rsidRDefault="00CE7E6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Turn no one away regardless of DCBS status </w:t>
            </w:r>
          </w:p>
          <w:p w14:paraId="3C9A3647" w14:textId="1EB9F2BF" w:rsidR="00CE7E61" w:rsidRDefault="00CE7E6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78% of services are for parents </w:t>
            </w:r>
          </w:p>
          <w:p w14:paraId="5EA25357" w14:textId="6506AFDA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Referral link: </w:t>
            </w:r>
            <w:hyperlink r:id="rId9" w:history="1">
              <w:r w:rsidRPr="00BD34BD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https://socv.hdiuky.net/shared-files/560/ADJUSTED-KPFC-Peer-Support-Referral-updated-8.23.21.pdf</w:t>
              </w:r>
            </w:hyperlink>
            <w:r>
              <w:rPr>
                <w:rFonts w:ascii="Century Gothic" w:hAnsi="Century Gothic" w:cs="Arial"/>
                <w:sz w:val="24"/>
                <w:szCs w:val="40"/>
              </w:rPr>
              <w:t xml:space="preserve"> &amp; </w:t>
            </w:r>
            <w:hyperlink r:id="rId10" w:history="1">
              <w:r w:rsidRPr="00BD34BD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https://kypartnership.org/kpfc-peer-support-centers/</w:t>
              </w:r>
            </w:hyperlink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651BAC7C" w14:textId="5C263018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Kayla Harmon is the Peer Support Specialist in the Lakes Region </w:t>
            </w:r>
          </w:p>
          <w:p w14:paraId="40B7A87A" w14:textId="35011587" w:rsidR="00CE7E61" w:rsidRDefault="00BF6577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KPFC is accepting </w:t>
            </w:r>
            <w:r w:rsidR="00506570">
              <w:rPr>
                <w:rFonts w:ascii="Century Gothic" w:hAnsi="Century Gothic" w:cs="Arial"/>
                <w:sz w:val="24"/>
                <w:szCs w:val="40"/>
              </w:rPr>
              <w:t xml:space="preserve">applications for an additional specialist in the Lakes Region </w:t>
            </w:r>
          </w:p>
          <w:p w14:paraId="76A89CFE" w14:textId="77777777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Parent Cafes/support groups </w:t>
            </w:r>
          </w:p>
          <w:p w14:paraId="1824EBFF" w14:textId="00597176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Youth Cafes </w:t>
            </w:r>
          </w:p>
          <w:p w14:paraId="02625CB1" w14:textId="2AE251E6" w:rsidR="00506570" w:rsidRDefault="00150CBB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hyperlink r:id="rId11" w:history="1">
              <w:r w:rsidR="00506570" w:rsidRPr="00BD34BD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https://kypartnership.org/events/youth-cafe-5/</w:t>
              </w:r>
            </w:hyperlink>
            <w:r w:rsidR="00506570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7986EBF4" w14:textId="7D488738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Smart Recovery Support Groups </w:t>
            </w:r>
          </w:p>
          <w:p w14:paraId="627868A7" w14:textId="6EADD649" w:rsidR="00506570" w:rsidRDefault="00506570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Family and Friends </w:t>
            </w:r>
            <w:r w:rsidR="00BF6577">
              <w:rPr>
                <w:rFonts w:ascii="Century Gothic" w:hAnsi="Century Gothic" w:cs="Arial"/>
                <w:sz w:val="24"/>
                <w:szCs w:val="40"/>
              </w:rPr>
              <w:t xml:space="preserve">Smart Recovery </w:t>
            </w:r>
            <w:r>
              <w:rPr>
                <w:rFonts w:ascii="Century Gothic" w:hAnsi="Century Gothic" w:cs="Arial"/>
                <w:sz w:val="24"/>
                <w:szCs w:val="40"/>
              </w:rPr>
              <w:t>group</w:t>
            </w:r>
          </w:p>
          <w:p w14:paraId="1E0297CC" w14:textId="0732CE2C" w:rsidR="00605BB1" w:rsidRDefault="00605BB1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Nurturing Parenting</w:t>
            </w:r>
          </w:p>
          <w:p w14:paraId="69312DE1" w14:textId="4AE0EEA3" w:rsidR="00506570" w:rsidRPr="00BF6577" w:rsidRDefault="00BF6577" w:rsidP="00BF6577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Provide o</w:t>
            </w:r>
            <w:r w:rsidR="00506570">
              <w:rPr>
                <w:rFonts w:ascii="Century Gothic" w:hAnsi="Century Gothic" w:cs="Arial"/>
                <w:sz w:val="24"/>
                <w:szCs w:val="40"/>
              </w:rPr>
              <w:t>ne on one services</w:t>
            </w:r>
          </w:p>
          <w:p w14:paraId="283FF829" w14:textId="16C849F7" w:rsidR="00506570" w:rsidRDefault="00BF6577" w:rsidP="001639E1">
            <w:pPr>
              <w:pStyle w:val="BodyCopy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KPFC w</w:t>
            </w:r>
            <w:r w:rsidR="00506570">
              <w:rPr>
                <w:rFonts w:ascii="Century Gothic" w:hAnsi="Century Gothic" w:cs="Arial"/>
                <w:sz w:val="24"/>
                <w:szCs w:val="40"/>
              </w:rPr>
              <w:t xml:space="preserve">ould like to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partner with </w:t>
            </w:r>
            <w:r w:rsidR="001E002A">
              <w:rPr>
                <w:rFonts w:ascii="Century Gothic" w:hAnsi="Century Gothic" w:cs="Arial"/>
                <w:sz w:val="24"/>
                <w:szCs w:val="40"/>
              </w:rPr>
              <w:t xml:space="preserve">DCBS </w:t>
            </w:r>
            <w:r>
              <w:rPr>
                <w:rFonts w:ascii="Century Gothic" w:hAnsi="Century Gothic" w:cs="Arial"/>
                <w:sz w:val="24"/>
                <w:szCs w:val="40"/>
              </w:rPr>
              <w:t>on ca</w:t>
            </w:r>
            <w:r w:rsidR="001E002A">
              <w:rPr>
                <w:rFonts w:ascii="Century Gothic" w:hAnsi="Century Gothic" w:cs="Arial"/>
                <w:sz w:val="24"/>
                <w:szCs w:val="40"/>
              </w:rPr>
              <w:t>se plan</w:t>
            </w:r>
            <w:r>
              <w:rPr>
                <w:rFonts w:ascii="Century Gothic" w:hAnsi="Century Gothic" w:cs="Arial"/>
                <w:sz w:val="24"/>
                <w:szCs w:val="40"/>
              </w:rPr>
              <w:t>ning</w:t>
            </w:r>
            <w:r w:rsidR="001E002A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7A6900FE" w14:textId="790A6A4A" w:rsidR="001E002A" w:rsidRDefault="00BF6577" w:rsidP="001639E1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Peer support in the Lakes have increased </w:t>
            </w:r>
          </w:p>
          <w:p w14:paraId="263B5878" w14:textId="1DCD7929" w:rsidR="00C4326E" w:rsidRDefault="001E002A" w:rsidP="001639E1">
            <w:pPr>
              <w:pStyle w:val="BodyCopy"/>
              <w:numPr>
                <w:ilvl w:val="0"/>
                <w:numId w:val="1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Support groups</w:t>
            </w:r>
            <w:r w:rsidR="00BF6577">
              <w:rPr>
                <w:rFonts w:ascii="Century Gothic" w:hAnsi="Century Gothic" w:cs="Arial"/>
                <w:sz w:val="24"/>
                <w:szCs w:val="40"/>
              </w:rPr>
              <w:t xml:space="preserve"> (see KPFC</w:t>
            </w:r>
            <w:r w:rsidR="00605BB1">
              <w:rPr>
                <w:rFonts w:ascii="Century Gothic" w:hAnsi="Century Gothic" w:cs="Arial"/>
                <w:sz w:val="24"/>
                <w:szCs w:val="40"/>
              </w:rPr>
              <w:t xml:space="preserve"> website)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4C31FCB" w14:textId="431C2655" w:rsidR="00506570" w:rsidRPr="00433911" w:rsidRDefault="001E002A" w:rsidP="00605BB1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</w:tc>
      </w:tr>
      <w:tr w:rsidR="00383AC2" w:rsidRPr="007F59FA" w14:paraId="5748CFF2" w14:textId="77777777" w:rsidTr="006C5EF2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6C5EF2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6E958101" w:rsidR="00383AC2" w:rsidRPr="00433911" w:rsidRDefault="00383AC2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641757F0" w:rsidR="00383AC2" w:rsidRPr="008F5DEB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539A5E0F" w:rsidR="00383AC2" w:rsidRPr="008F5DEB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23EB4262" w:rsidR="00383AC2" w:rsidRPr="00D5499A" w:rsidRDefault="001E002A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SOC FIVE Year Two Report-Dee Dee Ward</w:t>
            </w:r>
          </w:p>
        </w:tc>
      </w:tr>
      <w:tr w:rsidR="00383AC2" w:rsidRPr="007F59FA" w14:paraId="52DD1D7E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632817" w14:textId="77777777" w:rsidR="00164275" w:rsidRDefault="00164275" w:rsidP="0016427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2 Report captures progress on project goals</w:t>
            </w:r>
          </w:p>
          <w:p w14:paraId="6211C070" w14:textId="41A7ECCF" w:rsidR="007F34CD" w:rsidRDefault="00605BB1" w:rsidP="001639E1">
            <w:pPr>
              <w:pStyle w:val="ListNumber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</w:t>
            </w:r>
            <w:r w:rsidR="001E002A">
              <w:rPr>
                <w:rFonts w:ascii="Century Gothic" w:hAnsi="Century Gothic"/>
              </w:rPr>
              <w:t xml:space="preserve"> years left on the grant</w:t>
            </w:r>
            <w:r>
              <w:rPr>
                <w:rFonts w:ascii="Century Gothic" w:hAnsi="Century Gothic"/>
              </w:rPr>
              <w:t xml:space="preserve"> (through </w:t>
            </w:r>
            <w:r w:rsidR="001E002A">
              <w:rPr>
                <w:rFonts w:ascii="Century Gothic" w:hAnsi="Century Gothic"/>
              </w:rPr>
              <w:t>September 2023</w:t>
            </w:r>
            <w:r>
              <w:rPr>
                <w:rFonts w:ascii="Century Gothic" w:hAnsi="Century Gothic"/>
              </w:rPr>
              <w:t>)</w:t>
            </w:r>
          </w:p>
          <w:p w14:paraId="05EA2BCC" w14:textId="789AB4A9" w:rsidR="001E002A" w:rsidRPr="007F34CD" w:rsidRDefault="001E002A" w:rsidP="007F34CD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 w:rsidRPr="007F34CD">
              <w:rPr>
                <w:rFonts w:ascii="Century Gothic" w:hAnsi="Century Gothic"/>
                <w:u w:val="single"/>
              </w:rPr>
              <w:t xml:space="preserve">Goal 1: Enhance Infrastructure to support Implementation, </w:t>
            </w:r>
            <w:proofErr w:type="gramStart"/>
            <w:r w:rsidRPr="007F34CD">
              <w:rPr>
                <w:rFonts w:ascii="Century Gothic" w:hAnsi="Century Gothic"/>
                <w:u w:val="single"/>
              </w:rPr>
              <w:t>expansion</w:t>
            </w:r>
            <w:proofErr w:type="gramEnd"/>
            <w:r w:rsidRPr="007F34CD">
              <w:rPr>
                <w:rFonts w:ascii="Century Gothic" w:hAnsi="Century Gothic"/>
                <w:u w:val="single"/>
              </w:rPr>
              <w:t xml:space="preserve"> and</w:t>
            </w:r>
            <w:r w:rsidR="00164275" w:rsidRPr="007F34CD">
              <w:rPr>
                <w:rFonts w:ascii="Century Gothic" w:hAnsi="Century Gothic"/>
                <w:u w:val="single"/>
              </w:rPr>
              <w:t xml:space="preserve"> </w:t>
            </w:r>
            <w:r w:rsidRPr="007F34CD">
              <w:rPr>
                <w:rFonts w:ascii="Century Gothic" w:hAnsi="Century Gothic"/>
                <w:u w:val="single"/>
              </w:rPr>
              <w:t xml:space="preserve">integration of the SOC </w:t>
            </w:r>
          </w:p>
          <w:p w14:paraId="3B4A7C3E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Provided funding to 23 agencies</w:t>
            </w:r>
          </w:p>
          <w:p w14:paraId="05B04C79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Completed strategic finance plan </w:t>
            </w:r>
          </w:p>
          <w:p w14:paraId="46437F5A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Racial Equity Change Team </w:t>
            </w:r>
          </w:p>
          <w:p w14:paraId="5F0CD220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Racial Trauma Overview Trainings</w:t>
            </w:r>
          </w:p>
          <w:p w14:paraId="48F9B9FA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Secondary Traumatic Breakthrough Series</w:t>
            </w:r>
          </w:p>
          <w:p w14:paraId="4840C64B" w14:textId="77777777" w:rsidR="001E002A" w:rsidRDefault="001E002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Bridges Initiative</w:t>
            </w:r>
          </w:p>
          <w:p w14:paraId="54FC2D55" w14:textId="77777777" w:rsidR="001E002A" w:rsidRPr="00164275" w:rsidRDefault="001E002A" w:rsidP="0016427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  <w:u w:val="single"/>
              </w:rPr>
            </w:pPr>
            <w:r w:rsidRPr="00164275">
              <w:rPr>
                <w:rFonts w:ascii="Century Gothic" w:hAnsi="Century Gothic"/>
                <w:u w:val="single"/>
              </w:rPr>
              <w:t xml:space="preserve">Goal 2: improve availability and access to </w:t>
            </w:r>
            <w:r w:rsidR="00164275" w:rsidRPr="00164275">
              <w:rPr>
                <w:rFonts w:ascii="Century Gothic" w:hAnsi="Century Gothic"/>
                <w:u w:val="single"/>
              </w:rPr>
              <w:t>service</w:t>
            </w:r>
          </w:p>
          <w:p w14:paraId="5CA962B8" w14:textId="1633EF3D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Safety Net Funds received by Cohort 2 </w:t>
            </w:r>
          </w:p>
          <w:p w14:paraId="1F81F584" w14:textId="77777777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MAP training</w:t>
            </w:r>
          </w:p>
          <w:p w14:paraId="7D4E3572" w14:textId="77777777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KPFC established Peer Support Centers in all SOC FIVE Regions </w:t>
            </w:r>
          </w:p>
          <w:p w14:paraId="0CCF5890" w14:textId="77777777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Changed DCBS involvement definition within CMHC data set</w:t>
            </w:r>
          </w:p>
          <w:p w14:paraId="46ABDA28" w14:textId="77777777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Goal 3: promote &amp; sustain the voice of children youth and their families</w:t>
            </w:r>
          </w:p>
          <w:p w14:paraId="6EC10724" w14:textId="6B15299B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LEAD </w:t>
            </w:r>
            <w:r w:rsidR="00605BB1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 xml:space="preserve">Lived </w:t>
            </w:r>
            <w:r w:rsidR="00605BB1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xperience </w:t>
            </w:r>
            <w:r w:rsidR="00605BB1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uthentically </w:t>
            </w:r>
            <w:r w:rsidR="00605BB1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riven</w:t>
            </w:r>
            <w:r w:rsidR="00605BB1">
              <w:rPr>
                <w:rFonts w:ascii="Century Gothic" w:hAnsi="Century Gothic"/>
              </w:rPr>
              <w:t>)</w:t>
            </w:r>
          </w:p>
          <w:p w14:paraId="443625A9" w14:textId="6ADDA8BF" w:rsidR="00164275" w:rsidRDefault="00164275" w:rsidP="001639E1">
            <w:pPr>
              <w:pStyle w:val="ListNumber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Holding </w:t>
            </w:r>
            <w:r w:rsidR="00605BB1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 xml:space="preserve">ope </w:t>
            </w:r>
            <w:r w:rsidR="00605BB1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resentation</w:t>
            </w:r>
          </w:p>
          <w:p w14:paraId="21A6C1A9" w14:textId="77777777" w:rsidR="00605BB1" w:rsidRDefault="00605BB1" w:rsidP="00605BB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</w:p>
          <w:p w14:paraId="549F87F8" w14:textId="0A0CA1C5" w:rsidR="00605BB1" w:rsidRDefault="00605BB1" w:rsidP="00605BB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Barriers:</w:t>
            </w:r>
          </w:p>
          <w:p w14:paraId="0E9ADFF6" w14:textId="77777777" w:rsidR="00164275" w:rsidRDefault="00164275" w:rsidP="001639E1">
            <w:pPr>
              <w:pStyle w:val="ListNumber"/>
              <w:numPr>
                <w:ilvl w:val="0"/>
                <w:numId w:val="6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Delays in expansion</w:t>
            </w:r>
          </w:p>
          <w:p w14:paraId="2190BE17" w14:textId="6D72D2AE" w:rsidR="00164275" w:rsidRDefault="00164275" w:rsidP="001639E1">
            <w:pPr>
              <w:pStyle w:val="ListNumber"/>
              <w:numPr>
                <w:ilvl w:val="0"/>
                <w:numId w:val="6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Restricted in person opportunities</w:t>
            </w:r>
            <w:r w:rsidR="00605BB1">
              <w:rPr>
                <w:rFonts w:ascii="Century Gothic" w:hAnsi="Century Gothic"/>
              </w:rPr>
              <w:t xml:space="preserve"> due to pandemic</w:t>
            </w:r>
          </w:p>
          <w:p w14:paraId="5AEF81CF" w14:textId="721EF9B9" w:rsidR="00164275" w:rsidRDefault="00164275" w:rsidP="001639E1">
            <w:pPr>
              <w:pStyle w:val="ListNumber"/>
              <w:numPr>
                <w:ilvl w:val="0"/>
                <w:numId w:val="6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DCBS screener referrals to outside providers (reaching out to those providers to collaborate)</w:t>
            </w:r>
          </w:p>
          <w:p w14:paraId="3A57BC3C" w14:textId="7AEDD0BE" w:rsidR="00164275" w:rsidRPr="00826AA1" w:rsidRDefault="00164275" w:rsidP="0016427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jc w:val="center"/>
              <w:rPr>
                <w:rFonts w:ascii="Century Gothic" w:hAnsi="Century Gothic"/>
              </w:rPr>
            </w:pPr>
            <w:r w:rsidRPr="00164275">
              <w:rPr>
                <w:rFonts w:ascii="Century Gothic" w:hAnsi="Century Gothic"/>
                <w:noProof/>
              </w:rPr>
              <w:drawing>
                <wp:inline distT="0" distB="0" distL="0" distR="0" wp14:anchorId="106E154B" wp14:editId="6A3392EB">
                  <wp:extent cx="3801005" cy="267689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005" cy="267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AC2" w:rsidRPr="007F59FA" w14:paraId="2E8FFF84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79DCB59F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330823C" w:rsidR="00383AC2" w:rsidRPr="007F59FA" w:rsidRDefault="00383AC2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1700F9D0" w:rsidR="00383AC2" w:rsidRPr="007F59FA" w:rsidRDefault="00383AC2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6CE60BC8" w:rsidR="00545171" w:rsidRPr="007F59FA" w:rsidRDefault="001E002A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1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Grant Implementation Procedures- GMIT Team &amp; </w:t>
            </w:r>
            <w:r w:rsidR="006F5C3E">
              <w:rPr>
                <w:rFonts w:ascii="Century Gothic" w:hAnsi="Century Gothic"/>
                <w:color w:val="auto"/>
                <w:sz w:val="24"/>
                <w:szCs w:val="24"/>
              </w:rPr>
              <w:t>Open Discussion</w:t>
            </w:r>
          </w:p>
        </w:tc>
      </w:tr>
      <w:tr w:rsidR="00545171" w:rsidRPr="007F59FA" w14:paraId="60C87F17" w14:textId="77777777" w:rsidTr="006C5EF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2FB6CB" w14:textId="2E776A03" w:rsidR="00154C3F" w:rsidRDefault="00154C3F" w:rsidP="00154C3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Lakes DCBS wants to confirm ROI process: Do we n</w:t>
            </w:r>
            <w:r w:rsidR="00204FD5">
              <w:rPr>
                <w:rFonts w:ascii="Century Gothic" w:hAnsi="Century Gothic"/>
              </w:rPr>
              <w:t>eed the parent to sign the release before they can process referrals (Pennyroyal</w:t>
            </w:r>
            <w:r>
              <w:rPr>
                <w:rFonts w:ascii="Century Gothic" w:hAnsi="Century Gothic"/>
              </w:rPr>
              <w:t>)?</w:t>
            </w:r>
          </w:p>
          <w:p w14:paraId="0C20BD1D" w14:textId="2EF588F3" w:rsidR="00204FD5" w:rsidRDefault="00204FD5" w:rsidP="001639E1">
            <w:pPr>
              <w:pStyle w:val="ListNumber"/>
              <w:numPr>
                <w:ilvl w:val="1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154C3F">
              <w:rPr>
                <w:rFonts w:ascii="Century Gothic" w:hAnsi="Century Gothic"/>
              </w:rPr>
              <w:t>caregiver</w:t>
            </w:r>
            <w:r>
              <w:rPr>
                <w:rFonts w:ascii="Century Gothic" w:hAnsi="Century Gothic"/>
              </w:rPr>
              <w:t xml:space="preserve"> needs to sign </w:t>
            </w:r>
            <w:r w:rsidR="00154C3F"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>release at the time of the screener</w:t>
            </w:r>
          </w:p>
          <w:p w14:paraId="7E5F4B9F" w14:textId="6E2A8198" w:rsidR="00204FD5" w:rsidRDefault="00204FD5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if they don’t want to sign the releases</w:t>
            </w:r>
            <w:r w:rsidR="00154C3F">
              <w:rPr>
                <w:rFonts w:ascii="Century Gothic" w:hAnsi="Century Gothic"/>
              </w:rPr>
              <w:t>?</w:t>
            </w:r>
          </w:p>
          <w:p w14:paraId="7B6AEB8D" w14:textId="77777777" w:rsidR="00154C3F" w:rsidRDefault="00154C3F" w:rsidP="007F34CD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>- Caregivers</w:t>
            </w:r>
            <w:r w:rsidR="00204FD5">
              <w:rPr>
                <w:rFonts w:ascii="Century Gothic" w:hAnsi="Century Gothic"/>
              </w:rPr>
              <w:t xml:space="preserve"> can refuse</w:t>
            </w:r>
            <w:r>
              <w:rPr>
                <w:rFonts w:ascii="Century Gothic" w:hAnsi="Century Gothic"/>
              </w:rPr>
              <w:t xml:space="preserve"> the screener, the CANS or the services referred to as a result of the CANS</w:t>
            </w:r>
          </w:p>
          <w:p w14:paraId="468B52DB" w14:textId="5F144504" w:rsidR="00204FD5" w:rsidRDefault="007F34CD" w:rsidP="001639E1">
            <w:pPr>
              <w:pStyle w:val="ListNumber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DCBS </w:t>
            </w:r>
            <w:r w:rsidR="00204FD5">
              <w:rPr>
                <w:rFonts w:ascii="Century Gothic" w:hAnsi="Century Gothic"/>
              </w:rPr>
              <w:t xml:space="preserve">CQI captures </w:t>
            </w:r>
            <w:r w:rsidR="00154C3F">
              <w:rPr>
                <w:rFonts w:ascii="Century Gothic" w:hAnsi="Century Gothic"/>
              </w:rPr>
              <w:t>screeners</w:t>
            </w:r>
            <w:r>
              <w:rPr>
                <w:rFonts w:ascii="Century Gothic" w:hAnsi="Century Gothic"/>
              </w:rPr>
              <w:t>/CANS</w:t>
            </w:r>
            <w:r w:rsidR="00154C3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refused</w:t>
            </w:r>
          </w:p>
          <w:p w14:paraId="592AC8A9" w14:textId="6C896764" w:rsidR="00204FD5" w:rsidRDefault="007F34CD" w:rsidP="007F34CD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Joy- G</w:t>
            </w:r>
            <w:r w:rsidR="00204FD5">
              <w:rPr>
                <w:rFonts w:ascii="Century Gothic" w:hAnsi="Century Gothic"/>
              </w:rPr>
              <w:t xml:space="preserve">etting Peer support involved in the beginning </w:t>
            </w:r>
            <w:r w:rsidR="00154C3F">
              <w:rPr>
                <w:rFonts w:ascii="Century Gothic" w:hAnsi="Century Gothic"/>
              </w:rPr>
              <w:t>can</w:t>
            </w:r>
            <w:r w:rsidR="00204FD5">
              <w:rPr>
                <w:rFonts w:ascii="Century Gothic" w:hAnsi="Century Gothic"/>
              </w:rPr>
              <w:t xml:space="preserve"> facilitate screener/referral process</w:t>
            </w:r>
          </w:p>
          <w:p w14:paraId="31D6DC7A" w14:textId="046D0CA9" w:rsidR="00204FD5" w:rsidRDefault="00204FD5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Regions have received brochures on screening process</w:t>
            </w:r>
          </w:p>
          <w:p w14:paraId="668B4FE9" w14:textId="429FC321" w:rsidR="00154C3F" w:rsidRDefault="00154C3F" w:rsidP="00154C3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Links to brochures:</w:t>
            </w:r>
          </w:p>
          <w:p w14:paraId="2731B520" w14:textId="5D4C9D03" w:rsidR="0013486A" w:rsidRDefault="00150CBB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hyperlink r:id="rId13" w:history="1">
              <w:r w:rsidR="0013486A" w:rsidRPr="00BD34BD">
                <w:rPr>
                  <w:rStyle w:val="Hyperlink"/>
                  <w:rFonts w:ascii="Century Gothic" w:hAnsi="Century Gothic"/>
                </w:rPr>
                <w:t>https://socv.hdiuky.net/shared-files/475/Healthy-Mind-Healthy-Children-brochure-Spanish.pdf</w:t>
              </w:r>
            </w:hyperlink>
            <w:r w:rsidR="0013486A">
              <w:rPr>
                <w:rFonts w:ascii="Century Gothic" w:hAnsi="Century Gothic"/>
              </w:rPr>
              <w:t xml:space="preserve"> </w:t>
            </w:r>
          </w:p>
          <w:p w14:paraId="5F306836" w14:textId="2D574EF6" w:rsidR="0013486A" w:rsidRDefault="00150CBB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hyperlink r:id="rId14" w:history="1">
              <w:r w:rsidR="0013486A" w:rsidRPr="00BD34BD">
                <w:rPr>
                  <w:rStyle w:val="Hyperlink"/>
                  <w:rFonts w:ascii="Century Gothic" w:hAnsi="Century Gothic"/>
                </w:rPr>
                <w:t>https://socv.hdiuky.net/shared-files/377/DCBS-Screener-Brochure-PDF.color_.-FINAL-1.pdf</w:t>
              </w:r>
            </w:hyperlink>
            <w:r w:rsidR="0013486A">
              <w:rPr>
                <w:rFonts w:ascii="Century Gothic" w:hAnsi="Century Gothic"/>
              </w:rPr>
              <w:t xml:space="preserve"> </w:t>
            </w:r>
          </w:p>
          <w:p w14:paraId="65D3538A" w14:textId="54B218FF" w:rsidR="00204FD5" w:rsidRPr="008A3143" w:rsidRDefault="008A3143" w:rsidP="008A3143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 w:rsidRPr="008A3143">
              <w:rPr>
                <w:rFonts w:ascii="Century Gothic" w:hAnsi="Century Gothic"/>
              </w:rPr>
              <w:t xml:space="preserve">Lizzie- </w:t>
            </w:r>
            <w:r>
              <w:rPr>
                <w:rFonts w:ascii="Century Gothic" w:hAnsi="Century Gothic"/>
              </w:rPr>
              <w:t xml:space="preserve">DCBS: </w:t>
            </w:r>
            <w:r w:rsidR="00204FD5" w:rsidRPr="008A3143">
              <w:rPr>
                <w:rFonts w:ascii="Century Gothic" w:hAnsi="Century Gothic"/>
              </w:rPr>
              <w:t>When entering into TWIS</w:t>
            </w:r>
            <w:r w:rsidR="007F34CD">
              <w:rPr>
                <w:rFonts w:ascii="Century Gothic" w:hAnsi="Century Gothic"/>
              </w:rPr>
              <w:t xml:space="preserve">T, the </w:t>
            </w:r>
            <w:r w:rsidR="00204FD5" w:rsidRPr="008A3143">
              <w:rPr>
                <w:rFonts w:ascii="Century Gothic" w:hAnsi="Century Gothic"/>
              </w:rPr>
              <w:t>signed release of information</w:t>
            </w:r>
            <w:r w:rsidR="007F34CD">
              <w:rPr>
                <w:rFonts w:ascii="Century Gothic" w:hAnsi="Century Gothic"/>
              </w:rPr>
              <w:t xml:space="preserve"> is</w:t>
            </w:r>
            <w:r w:rsidR="00204FD5" w:rsidRPr="008A3143">
              <w:rPr>
                <w:rFonts w:ascii="Century Gothic" w:hAnsi="Century Gothic"/>
              </w:rPr>
              <w:t xml:space="preserve"> needed from Caregiver to the agency so DCBS can release to agency—this is the buffer between the two systems—it’s the same process on the </w:t>
            </w:r>
            <w:proofErr w:type="spellStart"/>
            <w:r w:rsidR="00204FD5" w:rsidRPr="008A3143">
              <w:rPr>
                <w:rFonts w:ascii="Century Gothic" w:hAnsi="Century Gothic"/>
              </w:rPr>
              <w:t>KidNet</w:t>
            </w:r>
            <w:proofErr w:type="spellEnd"/>
            <w:r w:rsidR="00204FD5" w:rsidRPr="008A3143">
              <w:rPr>
                <w:rFonts w:ascii="Century Gothic" w:hAnsi="Century Gothic"/>
              </w:rPr>
              <w:t xml:space="preserve"> side to release information back to DCBS </w:t>
            </w:r>
          </w:p>
          <w:p w14:paraId="1696F138" w14:textId="18027F4C" w:rsidR="00204FD5" w:rsidRDefault="00204FD5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Lizz</w:t>
            </w:r>
            <w:r w:rsidR="00E32310">
              <w:rPr>
                <w:rFonts w:ascii="Century Gothic" w:hAnsi="Century Gothic"/>
              </w:rPr>
              <w:t>ie</w:t>
            </w:r>
            <w:r>
              <w:rPr>
                <w:rFonts w:ascii="Century Gothic" w:hAnsi="Century Gothic"/>
              </w:rPr>
              <w:t xml:space="preserve"> is happy to do more training as needed on screeners </w:t>
            </w:r>
          </w:p>
          <w:p w14:paraId="1551E04C" w14:textId="0A088899" w:rsidR="001A7433" w:rsidRDefault="0013486A" w:rsidP="001A7433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Wendy Lay-</w:t>
            </w:r>
            <w:r w:rsidR="00154C3F">
              <w:rPr>
                <w:rFonts w:ascii="Century Gothic" w:hAnsi="Century Gothic"/>
              </w:rPr>
              <w:t xml:space="preserve"> we need</w:t>
            </w:r>
            <w:r>
              <w:rPr>
                <w:rFonts w:ascii="Century Gothic" w:hAnsi="Century Gothic"/>
              </w:rPr>
              <w:t xml:space="preserve"> some sort of release from DCBS </w:t>
            </w:r>
            <w:r w:rsidR="00154C3F">
              <w:rPr>
                <w:rFonts w:ascii="Century Gothic" w:hAnsi="Century Gothic"/>
              </w:rPr>
              <w:t xml:space="preserve">that </w:t>
            </w:r>
            <w:r>
              <w:rPr>
                <w:rFonts w:ascii="Century Gothic" w:hAnsi="Century Gothic"/>
              </w:rPr>
              <w:t xml:space="preserve">allows </w:t>
            </w:r>
            <w:r w:rsidR="008A3143">
              <w:rPr>
                <w:rFonts w:ascii="Century Gothic" w:hAnsi="Century Gothic"/>
              </w:rPr>
              <w:t xml:space="preserve">providers to confirm if a client is receiving services </w:t>
            </w:r>
          </w:p>
          <w:p w14:paraId="4BBA6F87" w14:textId="6FA1D597" w:rsidR="001A7433" w:rsidRPr="001A7433" w:rsidRDefault="001A7433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Joy- we need to watch out for consequences of reporting who is compliant with attending treatment; System of Care should not be punitive towards clients.</w:t>
            </w:r>
          </w:p>
          <w:p w14:paraId="57FF7539" w14:textId="0116766A" w:rsidR="0013486A" w:rsidRDefault="0013486A" w:rsidP="001A7433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Susan R. </w:t>
            </w:r>
            <w:r w:rsidR="001A7433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With the Initial release: Does the Pennyroyal release still need to be filled out? Is this a different process for in-home population?</w:t>
            </w:r>
          </w:p>
          <w:p w14:paraId="31ECBC53" w14:textId="77777777" w:rsidR="001A7433" w:rsidRDefault="001A7433" w:rsidP="001639E1">
            <w:pPr>
              <w:pStyle w:val="ListNumber"/>
              <w:numPr>
                <w:ilvl w:val="1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need to send consent paperwork.</w:t>
            </w:r>
          </w:p>
          <w:p w14:paraId="55C979D4" w14:textId="0863A3AB" w:rsidR="001A7433" w:rsidRDefault="001A7433" w:rsidP="001639E1">
            <w:pPr>
              <w:pStyle w:val="ListNumber"/>
              <w:numPr>
                <w:ilvl w:val="1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Client can complete a release of information after the referral is received and services are initiated by the provider.</w:t>
            </w:r>
          </w:p>
          <w:p w14:paraId="0D2BC4DB" w14:textId="660371E2" w:rsidR="001A7433" w:rsidRDefault="0013486A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Jessica B.- benefits of each service is not always explained</w:t>
            </w:r>
            <w:r w:rsidR="008A3143">
              <w:rPr>
                <w:rFonts w:ascii="Century Gothic" w:hAnsi="Century Gothic"/>
              </w:rPr>
              <w:t xml:space="preserve">; DCBS workers should be knowledgeable of relevant local services and provide clients more context for what services would be most beneficial </w:t>
            </w:r>
            <w:r w:rsidR="00605BB1">
              <w:rPr>
                <w:rFonts w:ascii="Century Gothic" w:hAnsi="Century Gothic"/>
              </w:rPr>
              <w:t>if</w:t>
            </w:r>
            <w:r w:rsidR="008A3143">
              <w:rPr>
                <w:rFonts w:ascii="Century Gothic" w:hAnsi="Century Gothic"/>
              </w:rPr>
              <w:t xml:space="preserve"> their client</w:t>
            </w:r>
            <w:r w:rsidR="001A7433">
              <w:rPr>
                <w:rFonts w:ascii="Century Gothic" w:hAnsi="Century Gothic"/>
              </w:rPr>
              <w:t xml:space="preserve"> agrees</w:t>
            </w:r>
            <w:r w:rsidR="00605BB1">
              <w:rPr>
                <w:rFonts w:ascii="Century Gothic" w:hAnsi="Century Gothic"/>
              </w:rPr>
              <w:t>;</w:t>
            </w:r>
            <w:r w:rsidR="001A7433">
              <w:rPr>
                <w:rFonts w:ascii="Century Gothic" w:hAnsi="Century Gothic"/>
              </w:rPr>
              <w:t xml:space="preserve"> simplifying the process is helpful. </w:t>
            </w:r>
          </w:p>
          <w:p w14:paraId="2CCCDF62" w14:textId="38EE9FD9" w:rsidR="00154C3F" w:rsidRDefault="001A7433" w:rsidP="00154C3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 w:rsidRPr="001A7433">
              <w:rPr>
                <w:rFonts w:ascii="Century Gothic" w:hAnsi="Century Gothic"/>
              </w:rPr>
              <w:t xml:space="preserve">Dee </w:t>
            </w:r>
            <w:proofErr w:type="spellStart"/>
            <w:r w:rsidRPr="001A7433">
              <w:rPr>
                <w:rFonts w:ascii="Century Gothic" w:hAnsi="Century Gothic"/>
              </w:rPr>
              <w:t>Dee</w:t>
            </w:r>
            <w:proofErr w:type="spellEnd"/>
            <w:r w:rsidRPr="001A7433">
              <w:rPr>
                <w:rFonts w:ascii="Century Gothic" w:hAnsi="Century Gothic"/>
              </w:rPr>
              <w:t xml:space="preserve">- </w:t>
            </w:r>
            <w:r w:rsidR="000D7F15" w:rsidRPr="001A7433">
              <w:rPr>
                <w:rFonts w:ascii="Century Gothic" w:hAnsi="Century Gothic"/>
              </w:rPr>
              <w:t>Is it doable for DCBS to do their release to share with provider then when the family follows up the provider</w:t>
            </w:r>
            <w:r w:rsidR="007F34CD">
              <w:rPr>
                <w:rFonts w:ascii="Century Gothic" w:hAnsi="Century Gothic"/>
              </w:rPr>
              <w:t xml:space="preserve"> [the provider]</w:t>
            </w:r>
            <w:r w:rsidR="007F34CD" w:rsidRPr="001A7433">
              <w:rPr>
                <w:rFonts w:ascii="Century Gothic" w:hAnsi="Century Gothic"/>
              </w:rPr>
              <w:t xml:space="preserve"> can</w:t>
            </w:r>
            <w:r w:rsidR="000D7F15" w:rsidRPr="001A7433">
              <w:rPr>
                <w:rFonts w:ascii="Century Gothic" w:hAnsi="Century Gothic"/>
              </w:rPr>
              <w:t xml:space="preserve"> secure their </w:t>
            </w:r>
            <w:r w:rsidRPr="001A7433">
              <w:rPr>
                <w:rFonts w:ascii="Century Gothic" w:hAnsi="Century Gothic"/>
              </w:rPr>
              <w:t>release?</w:t>
            </w:r>
            <w:r w:rsidR="000D7F15" w:rsidRPr="001A7433">
              <w:rPr>
                <w:rFonts w:ascii="Century Gothic" w:hAnsi="Century Gothic"/>
              </w:rPr>
              <w:t xml:space="preserve"> </w:t>
            </w:r>
          </w:p>
          <w:p w14:paraId="20B3D0F1" w14:textId="04E3A8BC" w:rsidR="001A7433" w:rsidRPr="001A7433" w:rsidRDefault="00154C3F" w:rsidP="00154C3F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Michael Daniel, Pennyroyal- Yes. </w:t>
            </w:r>
          </w:p>
          <w:p w14:paraId="6C21D660" w14:textId="6938EC42" w:rsidR="000D7F15" w:rsidRDefault="000D7F15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Rachel H. </w:t>
            </w:r>
            <w:r w:rsidR="00605BB1">
              <w:rPr>
                <w:rFonts w:ascii="Century Gothic" w:hAnsi="Century Gothic"/>
              </w:rPr>
              <w:t xml:space="preserve">w/Pennyroyal </w:t>
            </w:r>
            <w:r>
              <w:rPr>
                <w:rFonts w:ascii="Century Gothic" w:hAnsi="Century Gothic"/>
              </w:rPr>
              <w:t xml:space="preserve">will be contact to process </w:t>
            </w:r>
            <w:r w:rsidR="00154C3F">
              <w:rPr>
                <w:rFonts w:ascii="Century Gothic" w:hAnsi="Century Gothic"/>
              </w:rPr>
              <w:t xml:space="preserve">CANS </w:t>
            </w:r>
            <w:r>
              <w:rPr>
                <w:rFonts w:ascii="Century Gothic" w:hAnsi="Century Gothic"/>
              </w:rPr>
              <w:t>referrals</w:t>
            </w:r>
            <w:r w:rsidR="00154C3F">
              <w:rPr>
                <w:rFonts w:ascii="Century Gothic" w:hAnsi="Century Gothic"/>
              </w:rPr>
              <w:t xml:space="preserve"> (in-home/out of home)</w:t>
            </w:r>
          </w:p>
          <w:p w14:paraId="40FA6383" w14:textId="1FE813DD" w:rsidR="000D7F15" w:rsidRPr="00383AC2" w:rsidRDefault="000D7F15" w:rsidP="001639E1">
            <w:pPr>
              <w:pStyle w:val="ListNumber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Intake person will be hired at Four Rivers—</w:t>
            </w:r>
            <w:r w:rsidRPr="00605BB1">
              <w:rPr>
                <w:rFonts w:ascii="Century Gothic" w:hAnsi="Century Gothic"/>
              </w:rPr>
              <w:t>Wendy is current contact</w:t>
            </w:r>
            <w:r w:rsidR="00605BB1">
              <w:rPr>
                <w:rFonts w:ascii="Century Gothic" w:hAnsi="Century Gothic"/>
              </w:rPr>
              <w:t>, but plan to change for in-home assessments</w:t>
            </w:r>
          </w:p>
        </w:tc>
      </w:tr>
      <w:tr w:rsidR="00545171" w:rsidRPr="007F59FA" w14:paraId="7EF229DC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6C5EF2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4476A833" w:rsidR="00545171" w:rsidRPr="007F59FA" w:rsidRDefault="00545171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3761F812" w:rsidR="00545171" w:rsidRPr="007F59FA" w:rsidRDefault="00545171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45A072D4" w:rsidR="00545171" w:rsidRPr="007F59FA" w:rsidRDefault="00545171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1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3656BB0A" w:rsidR="00CF3FAE" w:rsidRPr="007F59FA" w:rsidRDefault="006F5C3E" w:rsidP="006C5EF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1D11A3" w14:textId="62A6283A" w:rsidR="006F5C3E" w:rsidRPr="006F5C3E" w:rsidRDefault="006F5C3E" w:rsidP="001639E1">
            <w:pPr>
              <w:pStyle w:val="BodyCopy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F5C3E">
              <w:rPr>
                <w:rFonts w:ascii="Century Gothic" w:hAnsi="Century Gothic" w:cs="Arial"/>
                <w:sz w:val="24"/>
                <w:szCs w:val="24"/>
              </w:rPr>
              <w:t>Many Pathways to Recovery – One Size does NOT Fit All – Feb 4th, 2022 (9 AM-11AM</w:t>
            </w:r>
            <w:r w:rsidR="001E002A">
              <w:rPr>
                <w:rFonts w:ascii="Century Gothic" w:hAnsi="Century Gothic" w:cs="Arial"/>
                <w:sz w:val="24"/>
                <w:szCs w:val="24"/>
              </w:rPr>
              <w:t xml:space="preserve"> CST</w:t>
            </w:r>
            <w:r w:rsidRPr="006F5C3E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212E1242" w14:textId="7095B418" w:rsidR="00261E8A" w:rsidRDefault="006F5C3E" w:rsidP="001639E1">
            <w:pPr>
              <w:pStyle w:val="BodyCopy"/>
              <w:numPr>
                <w:ilvl w:val="1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F5C3E">
              <w:rPr>
                <w:rFonts w:ascii="Century Gothic" w:hAnsi="Century Gothic" w:cs="Arial"/>
                <w:sz w:val="24"/>
                <w:szCs w:val="24"/>
              </w:rPr>
              <w:t xml:space="preserve">Register @ </w:t>
            </w:r>
            <w:hyperlink r:id="rId15" w:history="1">
              <w:r w:rsidRPr="00BD34BD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https://kypartnership.org/</w:t>
              </w:r>
            </w:hyperlink>
          </w:p>
          <w:p w14:paraId="623B64D4" w14:textId="7AD788CC" w:rsidR="006F5C3E" w:rsidRDefault="000D7F15" w:rsidP="001639E1">
            <w:pPr>
              <w:pStyle w:val="BodyCopy"/>
              <w:numPr>
                <w:ilvl w:val="0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Kniffley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 xml:space="preserve">is partnering with SOC FIVE to </w:t>
            </w:r>
            <w:r>
              <w:rPr>
                <w:rFonts w:ascii="Century Gothic" w:hAnsi="Century Gothic" w:cs="Arial"/>
                <w:sz w:val="24"/>
                <w:szCs w:val="24"/>
              </w:rPr>
              <w:t>provi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>de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Racial Trauma Therapy </w:t>
            </w:r>
            <w:r w:rsidR="008A3143">
              <w:rPr>
                <w:rFonts w:ascii="Century Gothic" w:hAnsi="Century Gothic" w:cs="Arial"/>
                <w:sz w:val="24"/>
                <w:szCs w:val="24"/>
              </w:rPr>
              <w:t xml:space="preserve">Trainings to providers </w:t>
            </w:r>
          </w:p>
          <w:p w14:paraId="39A801BB" w14:textId="076F3996" w:rsidR="008A3143" w:rsidRDefault="008A3143" w:rsidP="001639E1">
            <w:pPr>
              <w:pStyle w:val="BodyCopy"/>
              <w:numPr>
                <w:ilvl w:val="1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Seeking 50 clinicians across the state to participate in training and work closely with him in pilot </w:t>
            </w:r>
          </w:p>
          <w:p w14:paraId="56A494DD" w14:textId="2D4F4933" w:rsidR="008A3143" w:rsidRPr="00242CF1" w:rsidRDefault="008A3143" w:rsidP="001639E1">
            <w:pPr>
              <w:pStyle w:val="BodyCopy"/>
              <w:numPr>
                <w:ilvl w:val="1"/>
                <w:numId w:val="5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More information will be sent providing dates and more details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3386C22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508C5ADD" w:rsidR="00CF3FAE" w:rsidRPr="007F59FA" w:rsidRDefault="00CF3FAE" w:rsidP="006C5EF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2E215A27" w:rsidR="00CF3FAE" w:rsidRPr="007F59FA" w:rsidRDefault="00CF3FAE" w:rsidP="006C5EF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33032AC8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6F5C3E">
        <w:rPr>
          <w:rFonts w:ascii="Century Gothic" w:hAnsi="Century Gothic"/>
          <w:b/>
          <w:sz w:val="24"/>
          <w:szCs w:val="40"/>
        </w:rPr>
        <w:t>February 15</w:t>
      </w:r>
      <w:r w:rsidR="008010CC">
        <w:rPr>
          <w:rFonts w:ascii="Century Gothic" w:hAnsi="Century Gothic"/>
          <w:b/>
          <w:sz w:val="24"/>
          <w:szCs w:val="40"/>
        </w:rPr>
        <w:t>,</w:t>
      </w:r>
      <w:r w:rsidR="0070747A">
        <w:rPr>
          <w:rFonts w:ascii="Century Gothic" w:hAnsi="Century Gothic"/>
          <w:b/>
          <w:sz w:val="24"/>
          <w:szCs w:val="40"/>
        </w:rPr>
        <w:t xml:space="preserve"> </w:t>
      </w:r>
      <w:r w:rsidR="008010CC">
        <w:rPr>
          <w:rFonts w:ascii="Century Gothic" w:hAnsi="Century Gothic"/>
          <w:b/>
          <w:sz w:val="24"/>
          <w:szCs w:val="40"/>
        </w:rPr>
        <w:t>2022</w:t>
      </w:r>
      <w:r w:rsidR="006B6CBB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</w:t>
      </w:r>
      <w:r w:rsidR="006D6B35">
        <w:rPr>
          <w:rFonts w:ascii="Century Gothic" w:hAnsi="Century Gothic"/>
          <w:b/>
          <w:sz w:val="24"/>
          <w:szCs w:val="40"/>
        </w:rPr>
        <w:t>30-</w:t>
      </w:r>
      <w:r w:rsidR="00685FE0">
        <w:rPr>
          <w:rFonts w:ascii="Century Gothic" w:hAnsi="Century Gothic"/>
          <w:b/>
          <w:sz w:val="24"/>
          <w:szCs w:val="40"/>
        </w:rPr>
        <w:t>3</w:t>
      </w:r>
      <w:r w:rsidR="006D6B35">
        <w:rPr>
          <w:rFonts w:ascii="Century Gothic" w:hAnsi="Century Gothic"/>
          <w:b/>
          <w:sz w:val="24"/>
          <w:szCs w:val="40"/>
        </w:rPr>
        <w:t>:30 CST</w:t>
      </w:r>
      <w:r w:rsidR="00AA2AA2">
        <w:rPr>
          <w:rFonts w:ascii="Century Gothic" w:hAnsi="Century Gothic"/>
          <w:b/>
          <w:sz w:val="24"/>
          <w:szCs w:val="40"/>
        </w:rPr>
        <w:t xml:space="preserve"> p.m.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771EC3A1" w14:textId="71F5427E" w:rsidR="00D47356" w:rsidRDefault="00150CBB" w:rsidP="00934F07">
      <w:pPr>
        <w:spacing w:line="276" w:lineRule="auto"/>
        <w:ind w:left="-634"/>
        <w:rPr>
          <w:rStyle w:val="Hyperlink"/>
          <w:rFonts w:ascii="Century Gothic" w:hAnsi="Century Gothic"/>
          <w:sz w:val="24"/>
          <w:szCs w:val="40"/>
        </w:rPr>
      </w:pPr>
      <w:hyperlink r:id="rId16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20E83067" w14:textId="52F7AC72" w:rsidR="00261E8A" w:rsidRDefault="00261E8A" w:rsidP="00214647">
      <w:pPr>
        <w:spacing w:line="276" w:lineRule="auto"/>
      </w:pPr>
    </w:p>
    <w:sectPr w:rsidR="00261E8A" w:rsidSect="006C5EF2">
      <w:headerReference w:type="default" r:id="rId1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3945" w14:textId="77777777" w:rsidR="00150CBB" w:rsidRDefault="00150CBB">
      <w:r>
        <w:separator/>
      </w:r>
    </w:p>
  </w:endnote>
  <w:endnote w:type="continuationSeparator" w:id="0">
    <w:p w14:paraId="7837DB96" w14:textId="77777777" w:rsidR="00150CBB" w:rsidRDefault="0015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A7BE" w14:textId="77777777" w:rsidR="00150CBB" w:rsidRDefault="00150CBB">
      <w:r>
        <w:separator/>
      </w:r>
    </w:p>
  </w:footnote>
  <w:footnote w:type="continuationSeparator" w:id="0">
    <w:p w14:paraId="1EE0575A" w14:textId="77777777" w:rsidR="00150CBB" w:rsidRDefault="0015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2A93" w14:textId="69536602" w:rsidR="006C5EF2" w:rsidRDefault="007B1A52" w:rsidP="006C5EF2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58B">
      <w:rPr>
        <w:rFonts w:ascii="Century Gothic" w:hAnsi="Century Gothic" w:cs="Arial"/>
        <w:b/>
        <w:color w:val="auto"/>
        <w:sz w:val="30"/>
      </w:rPr>
      <w:t>Lakes</w:t>
    </w:r>
    <w:r w:rsidR="00AA2AA2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39F0738" w14:textId="489202D2" w:rsidR="006C5EF2" w:rsidRDefault="006F5C3E" w:rsidP="006C5EF2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January 18, 2022</w:t>
    </w:r>
  </w:p>
  <w:p w14:paraId="46E4CF0F" w14:textId="77777777" w:rsidR="006C5EF2" w:rsidRPr="003046FE" w:rsidRDefault="006C5EF2" w:rsidP="006C5EF2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A3166"/>
    <w:multiLevelType w:val="hybridMultilevel"/>
    <w:tmpl w:val="AEB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3408"/>
    <w:multiLevelType w:val="hybridMultilevel"/>
    <w:tmpl w:val="9D58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6FB"/>
    <w:multiLevelType w:val="hybridMultilevel"/>
    <w:tmpl w:val="A9B63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36D5FBC"/>
    <w:multiLevelType w:val="hybridMultilevel"/>
    <w:tmpl w:val="31B2E344"/>
    <w:lvl w:ilvl="0" w:tplc="89E81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6554A"/>
    <w:multiLevelType w:val="hybridMultilevel"/>
    <w:tmpl w:val="2A2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2E66"/>
    <w:multiLevelType w:val="hybridMultilevel"/>
    <w:tmpl w:val="A1BC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47A1F"/>
    <w:multiLevelType w:val="hybridMultilevel"/>
    <w:tmpl w:val="995E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7E4F"/>
    <w:multiLevelType w:val="hybridMultilevel"/>
    <w:tmpl w:val="1F2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41C0"/>
    <w:rsid w:val="0003596B"/>
    <w:rsid w:val="00053114"/>
    <w:rsid w:val="00054A79"/>
    <w:rsid w:val="000669B3"/>
    <w:rsid w:val="0007258B"/>
    <w:rsid w:val="0007577F"/>
    <w:rsid w:val="00091E85"/>
    <w:rsid w:val="000A0DE9"/>
    <w:rsid w:val="000D286F"/>
    <w:rsid w:val="000D7F15"/>
    <w:rsid w:val="000E08FC"/>
    <w:rsid w:val="00105548"/>
    <w:rsid w:val="001057BE"/>
    <w:rsid w:val="00132792"/>
    <w:rsid w:val="0013486A"/>
    <w:rsid w:val="001460C5"/>
    <w:rsid w:val="0014677C"/>
    <w:rsid w:val="00150CBB"/>
    <w:rsid w:val="00153D74"/>
    <w:rsid w:val="00154C3F"/>
    <w:rsid w:val="001639E1"/>
    <w:rsid w:val="00164275"/>
    <w:rsid w:val="001862F7"/>
    <w:rsid w:val="001A46F5"/>
    <w:rsid w:val="001A7433"/>
    <w:rsid w:val="001B3FAD"/>
    <w:rsid w:val="001C4F01"/>
    <w:rsid w:val="001D146F"/>
    <w:rsid w:val="001E002A"/>
    <w:rsid w:val="001E3959"/>
    <w:rsid w:val="00204FD5"/>
    <w:rsid w:val="0021215D"/>
    <w:rsid w:val="00214647"/>
    <w:rsid w:val="00221A14"/>
    <w:rsid w:val="00227350"/>
    <w:rsid w:val="00242CF1"/>
    <w:rsid w:val="00261E8A"/>
    <w:rsid w:val="002657D3"/>
    <w:rsid w:val="002757C1"/>
    <w:rsid w:val="00295AD8"/>
    <w:rsid w:val="002963AE"/>
    <w:rsid w:val="002A46DE"/>
    <w:rsid w:val="002A5552"/>
    <w:rsid w:val="002B071D"/>
    <w:rsid w:val="002B2BB3"/>
    <w:rsid w:val="002B7B7D"/>
    <w:rsid w:val="002C035B"/>
    <w:rsid w:val="002C43C7"/>
    <w:rsid w:val="002C6A4D"/>
    <w:rsid w:val="002D33DB"/>
    <w:rsid w:val="002F3DFB"/>
    <w:rsid w:val="002F42CD"/>
    <w:rsid w:val="002F7DD1"/>
    <w:rsid w:val="003062CE"/>
    <w:rsid w:val="0033300E"/>
    <w:rsid w:val="003745C0"/>
    <w:rsid w:val="00382170"/>
    <w:rsid w:val="00383AC2"/>
    <w:rsid w:val="00384A47"/>
    <w:rsid w:val="003A4D6A"/>
    <w:rsid w:val="003B1069"/>
    <w:rsid w:val="003E0CD3"/>
    <w:rsid w:val="003F085A"/>
    <w:rsid w:val="003F0F64"/>
    <w:rsid w:val="00447423"/>
    <w:rsid w:val="00473D78"/>
    <w:rsid w:val="004A59B0"/>
    <w:rsid w:val="004C6CDD"/>
    <w:rsid w:val="004F591F"/>
    <w:rsid w:val="0050468F"/>
    <w:rsid w:val="00506570"/>
    <w:rsid w:val="00530FC2"/>
    <w:rsid w:val="00536FC1"/>
    <w:rsid w:val="00545171"/>
    <w:rsid w:val="0054689F"/>
    <w:rsid w:val="005519CA"/>
    <w:rsid w:val="005531F4"/>
    <w:rsid w:val="0059658C"/>
    <w:rsid w:val="005A4FF1"/>
    <w:rsid w:val="005C2238"/>
    <w:rsid w:val="005C256D"/>
    <w:rsid w:val="005D548C"/>
    <w:rsid w:val="005F5F62"/>
    <w:rsid w:val="00605BB1"/>
    <w:rsid w:val="006541CF"/>
    <w:rsid w:val="006543C7"/>
    <w:rsid w:val="0067042A"/>
    <w:rsid w:val="00685FE0"/>
    <w:rsid w:val="006A1FE7"/>
    <w:rsid w:val="006B6CBB"/>
    <w:rsid w:val="006C5EF2"/>
    <w:rsid w:val="006D1A05"/>
    <w:rsid w:val="006D6B35"/>
    <w:rsid w:val="006E59F4"/>
    <w:rsid w:val="006E76DF"/>
    <w:rsid w:val="006F58DD"/>
    <w:rsid w:val="006F5C3E"/>
    <w:rsid w:val="00700C2D"/>
    <w:rsid w:val="00704805"/>
    <w:rsid w:val="0070747A"/>
    <w:rsid w:val="00723B09"/>
    <w:rsid w:val="00744363"/>
    <w:rsid w:val="007A5D22"/>
    <w:rsid w:val="007B1A52"/>
    <w:rsid w:val="007D2A0F"/>
    <w:rsid w:val="007D3374"/>
    <w:rsid w:val="007E1416"/>
    <w:rsid w:val="007F34CD"/>
    <w:rsid w:val="008010CC"/>
    <w:rsid w:val="00807262"/>
    <w:rsid w:val="0081661E"/>
    <w:rsid w:val="00825163"/>
    <w:rsid w:val="00826AA1"/>
    <w:rsid w:val="0083111F"/>
    <w:rsid w:val="00852ED1"/>
    <w:rsid w:val="00856EEE"/>
    <w:rsid w:val="0087614F"/>
    <w:rsid w:val="008A3143"/>
    <w:rsid w:val="008B08D4"/>
    <w:rsid w:val="008B6387"/>
    <w:rsid w:val="008B7316"/>
    <w:rsid w:val="008C2636"/>
    <w:rsid w:val="008D2219"/>
    <w:rsid w:val="008D7033"/>
    <w:rsid w:val="008E1793"/>
    <w:rsid w:val="008E35D5"/>
    <w:rsid w:val="008F55EF"/>
    <w:rsid w:val="009046F4"/>
    <w:rsid w:val="00912A7A"/>
    <w:rsid w:val="00932169"/>
    <w:rsid w:val="00934F07"/>
    <w:rsid w:val="0095432D"/>
    <w:rsid w:val="0096618E"/>
    <w:rsid w:val="00985821"/>
    <w:rsid w:val="009901F2"/>
    <w:rsid w:val="009A102D"/>
    <w:rsid w:val="009A2CDB"/>
    <w:rsid w:val="009D0FED"/>
    <w:rsid w:val="009E1EB1"/>
    <w:rsid w:val="009E252B"/>
    <w:rsid w:val="009E533F"/>
    <w:rsid w:val="009E5E9B"/>
    <w:rsid w:val="009E7F83"/>
    <w:rsid w:val="009F462A"/>
    <w:rsid w:val="00A518D2"/>
    <w:rsid w:val="00A62A89"/>
    <w:rsid w:val="00A968D3"/>
    <w:rsid w:val="00AA2AA2"/>
    <w:rsid w:val="00AA6AD8"/>
    <w:rsid w:val="00AB4A3C"/>
    <w:rsid w:val="00AB5406"/>
    <w:rsid w:val="00AC233E"/>
    <w:rsid w:val="00AC4941"/>
    <w:rsid w:val="00AC775F"/>
    <w:rsid w:val="00AD5FEE"/>
    <w:rsid w:val="00AE14E5"/>
    <w:rsid w:val="00B345C7"/>
    <w:rsid w:val="00B35053"/>
    <w:rsid w:val="00B356F2"/>
    <w:rsid w:val="00B7257F"/>
    <w:rsid w:val="00B94EA4"/>
    <w:rsid w:val="00BB277F"/>
    <w:rsid w:val="00BF6577"/>
    <w:rsid w:val="00C008A6"/>
    <w:rsid w:val="00C03DE7"/>
    <w:rsid w:val="00C04B65"/>
    <w:rsid w:val="00C13D49"/>
    <w:rsid w:val="00C41D2D"/>
    <w:rsid w:val="00C4326E"/>
    <w:rsid w:val="00C76EBD"/>
    <w:rsid w:val="00CB5E9F"/>
    <w:rsid w:val="00CB60D7"/>
    <w:rsid w:val="00CC05B6"/>
    <w:rsid w:val="00CD060B"/>
    <w:rsid w:val="00CE5A3B"/>
    <w:rsid w:val="00CE7E61"/>
    <w:rsid w:val="00CF3FAE"/>
    <w:rsid w:val="00D02F0F"/>
    <w:rsid w:val="00D03199"/>
    <w:rsid w:val="00D22588"/>
    <w:rsid w:val="00D37C93"/>
    <w:rsid w:val="00D45F7B"/>
    <w:rsid w:val="00D47341"/>
    <w:rsid w:val="00D47356"/>
    <w:rsid w:val="00D5499A"/>
    <w:rsid w:val="00D85082"/>
    <w:rsid w:val="00D96F51"/>
    <w:rsid w:val="00DB4346"/>
    <w:rsid w:val="00DD188D"/>
    <w:rsid w:val="00DF55E1"/>
    <w:rsid w:val="00E01A97"/>
    <w:rsid w:val="00E1062E"/>
    <w:rsid w:val="00E162CC"/>
    <w:rsid w:val="00E17867"/>
    <w:rsid w:val="00E32310"/>
    <w:rsid w:val="00E5175C"/>
    <w:rsid w:val="00E54DB4"/>
    <w:rsid w:val="00E668BE"/>
    <w:rsid w:val="00E94287"/>
    <w:rsid w:val="00EA14C5"/>
    <w:rsid w:val="00EA3E30"/>
    <w:rsid w:val="00ED2D4A"/>
    <w:rsid w:val="00ED6FF8"/>
    <w:rsid w:val="00EE1850"/>
    <w:rsid w:val="00EE5192"/>
    <w:rsid w:val="00F143EF"/>
    <w:rsid w:val="00F25313"/>
    <w:rsid w:val="00F60A85"/>
    <w:rsid w:val="00F84C3C"/>
    <w:rsid w:val="00FC3DDB"/>
    <w:rsid w:val="00FE5A5C"/>
    <w:rsid w:val="00FE66EA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8E63A201-F945-46A4-9652-0D3D4995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CC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8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partnership.org" TargetMode="External"/><Relationship Id="rId13" Type="http://schemas.openxmlformats.org/officeDocument/2006/relationships/hyperlink" Target="https://socv.hdiuky.net/shared-files/475/Healthy-Mind-Healthy-Children-brochure-Spanish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ypartnership.org/events/youth-cafe-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ypartnership.org/" TargetMode="External"/><Relationship Id="rId10" Type="http://schemas.openxmlformats.org/officeDocument/2006/relationships/hyperlink" Target="https://kypartnership.org/kpfc-peer-support-cente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cv.hdiuky.net/shared-files/560/ADJUSTED-KPFC-Peer-Support-Referral-updated-8.23.21.pdf" TargetMode="External"/><Relationship Id="rId14" Type="http://schemas.openxmlformats.org/officeDocument/2006/relationships/hyperlink" Target="https://socv.hdiuky.net/shared-files/377/DCBS-Screener-Brochure-PDF.color_.-FINAL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Taylor, Tammi R (BHDID/Frankfort)</cp:lastModifiedBy>
  <cp:revision>2</cp:revision>
  <dcterms:created xsi:type="dcterms:W3CDTF">2022-02-15T14:30:00Z</dcterms:created>
  <dcterms:modified xsi:type="dcterms:W3CDTF">2022-02-15T14:30:00Z</dcterms:modified>
</cp:coreProperties>
</file>